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E6D7F3" w14:textId="77777777" w:rsidR="00546A01" w:rsidRDefault="00546A01" w:rsidP="009640D6">
      <w:pPr>
        <w:widowControl w:val="0"/>
        <w:spacing w:line="360" w:lineRule="auto"/>
        <w:ind w:right="-164"/>
        <w:jc w:val="both"/>
        <w:rPr>
          <w:rFonts w:ascii="Palatino Linotype" w:hAnsi="Palatino Linotype" w:cs="Arial"/>
          <w:b/>
        </w:rPr>
      </w:pPr>
    </w:p>
    <w:p w14:paraId="6209A08C" w14:textId="55CA7AE0" w:rsidR="0030072F" w:rsidRPr="00057956" w:rsidRDefault="0007653D" w:rsidP="009640D6">
      <w:pPr>
        <w:widowControl w:val="0"/>
        <w:spacing w:line="360" w:lineRule="auto"/>
        <w:ind w:right="-164"/>
        <w:jc w:val="both"/>
        <w:rPr>
          <w:rFonts w:ascii="Palatino Linotype" w:eastAsia="Calibri" w:hAnsi="Palatino Linotype" w:cs="Arial"/>
          <w:b/>
          <w:color w:val="000000"/>
        </w:rPr>
      </w:pPr>
      <w:r w:rsidRPr="00057956">
        <w:rPr>
          <w:rFonts w:ascii="Palatino Linotype" w:hAnsi="Palatino Linotype" w:cs="Arial"/>
          <w:b/>
        </w:rPr>
        <w:t>VOTO PARTICULAR</w:t>
      </w:r>
      <w:r w:rsidR="00FF2FE7">
        <w:rPr>
          <w:rFonts w:ascii="Palatino Linotype" w:hAnsi="Palatino Linotype" w:cs="Arial"/>
          <w:b/>
        </w:rPr>
        <w:t xml:space="preserve"> </w:t>
      </w:r>
      <w:r w:rsidRPr="00057956">
        <w:rPr>
          <w:rFonts w:ascii="Palatino Linotype" w:hAnsi="Palatino Linotype" w:cs="Arial"/>
          <w:b/>
        </w:rPr>
        <w:t xml:space="preserve">QUE FORMULA </w:t>
      </w:r>
      <w:r w:rsidR="00C822D0">
        <w:rPr>
          <w:rFonts w:ascii="Palatino Linotype" w:hAnsi="Palatino Linotype" w:cs="Arial"/>
          <w:b/>
        </w:rPr>
        <w:t>LA COMISIONADA</w:t>
      </w:r>
      <w:r w:rsidR="00C822D0" w:rsidRPr="00057956">
        <w:rPr>
          <w:rFonts w:ascii="Palatino Linotype" w:hAnsi="Palatino Linotype" w:cs="Arial"/>
          <w:b/>
        </w:rPr>
        <w:t xml:space="preserve"> EVA ABAID YAPUR</w:t>
      </w:r>
      <w:r w:rsidRPr="00057956">
        <w:rPr>
          <w:rFonts w:ascii="Palatino Linotype" w:hAnsi="Palatino Linotype" w:cs="Arial"/>
          <w:b/>
        </w:rPr>
        <w:t xml:space="preserve">, EN RELACIÓN CON LA RESOLUCIÓN DICTADA POR EL PLENO DEL INSTITUTO DE TRANSPARENCIA, ACCESO A LA INFORMACIÓN PÚBLICA Y PROTECCIÓN DE </w:t>
      </w:r>
      <w:r w:rsidR="000C2CF9" w:rsidRPr="00057956">
        <w:rPr>
          <w:rFonts w:ascii="Palatino Linotype" w:hAnsi="Palatino Linotype" w:cs="Arial"/>
          <w:b/>
        </w:rPr>
        <w:t xml:space="preserve">DATOS PERSONALES DEL ESTADO DE MÉXICO Y MUNICIPIOS, EN LA </w:t>
      </w:r>
      <w:r w:rsidR="000F647D">
        <w:rPr>
          <w:rFonts w:ascii="Palatino Linotype" w:hAnsi="Palatino Linotype" w:cs="Arial"/>
          <w:b/>
        </w:rPr>
        <w:t xml:space="preserve">VIGÉSIMA SÉPTIMA </w:t>
      </w:r>
      <w:r w:rsidR="000C2CF9" w:rsidRPr="00057956">
        <w:rPr>
          <w:rFonts w:ascii="Palatino Linotype" w:hAnsi="Palatino Linotype" w:cs="Arial"/>
          <w:b/>
        </w:rPr>
        <w:t xml:space="preserve">SESIÓN ORDINARIA </w:t>
      </w:r>
      <w:r w:rsidR="00CD13BC" w:rsidRPr="00057956">
        <w:rPr>
          <w:rFonts w:ascii="Palatino Linotype" w:hAnsi="Palatino Linotype" w:cs="Arial"/>
          <w:b/>
        </w:rPr>
        <w:t xml:space="preserve">DE </w:t>
      </w:r>
      <w:r w:rsidR="000F647D">
        <w:rPr>
          <w:rFonts w:ascii="Palatino Linotype" w:hAnsi="Palatino Linotype" w:cs="Arial"/>
          <w:b/>
        </w:rPr>
        <w:t>UNO DE AGOSTO</w:t>
      </w:r>
      <w:r w:rsidR="002C29DA">
        <w:rPr>
          <w:rFonts w:ascii="Palatino Linotype" w:hAnsi="Palatino Linotype" w:cs="Arial"/>
          <w:b/>
        </w:rPr>
        <w:t xml:space="preserve"> </w:t>
      </w:r>
      <w:r w:rsidR="00676F2A">
        <w:rPr>
          <w:rFonts w:ascii="Palatino Linotype" w:hAnsi="Palatino Linotype" w:cs="Arial"/>
          <w:b/>
        </w:rPr>
        <w:t>DE DOS MIL DIECIOCHO</w:t>
      </w:r>
      <w:r w:rsidR="00260589" w:rsidRPr="00057956">
        <w:rPr>
          <w:rFonts w:ascii="Palatino Linotype" w:hAnsi="Palatino Linotype" w:cs="Arial"/>
          <w:b/>
        </w:rPr>
        <w:t xml:space="preserve">, </w:t>
      </w:r>
      <w:r w:rsidR="00D557C2" w:rsidRPr="00057956">
        <w:rPr>
          <w:rFonts w:ascii="Palatino Linotype" w:hAnsi="Palatino Linotype" w:cs="Arial"/>
          <w:b/>
        </w:rPr>
        <w:t>EN</w:t>
      </w:r>
      <w:r w:rsidR="00DA5209" w:rsidRPr="00057956">
        <w:rPr>
          <w:rFonts w:ascii="Palatino Linotype" w:hAnsi="Palatino Linotype" w:cs="Arial"/>
          <w:b/>
        </w:rPr>
        <w:t xml:space="preserve"> </w:t>
      </w:r>
      <w:r w:rsidR="002D4526" w:rsidRPr="00057956">
        <w:rPr>
          <w:rFonts w:ascii="Palatino Linotype" w:hAnsi="Palatino Linotype" w:cs="Arial"/>
          <w:b/>
        </w:rPr>
        <w:t xml:space="preserve">EL RECURSO DE REVISIÓN </w:t>
      </w:r>
      <w:r w:rsidR="000F647D" w:rsidRPr="000F647D">
        <w:rPr>
          <w:rFonts w:ascii="Palatino Linotype" w:hAnsi="Palatino Linotype" w:cs="Arial"/>
          <w:b/>
        </w:rPr>
        <w:t>01965/INFOEM/IP/RR/2018</w:t>
      </w:r>
      <w:r w:rsidR="002D4526" w:rsidRPr="00057956">
        <w:rPr>
          <w:rFonts w:ascii="Palatino Linotype" w:eastAsia="Calibri" w:hAnsi="Palatino Linotype" w:cs="Arial"/>
          <w:b/>
          <w:color w:val="000000"/>
        </w:rPr>
        <w:t>.</w:t>
      </w:r>
    </w:p>
    <w:p w14:paraId="54C291AC" w14:textId="77777777" w:rsidR="00FF2FE7" w:rsidRDefault="00FF2FE7" w:rsidP="009640D6">
      <w:pPr>
        <w:widowControl w:val="0"/>
        <w:spacing w:line="360" w:lineRule="auto"/>
        <w:ind w:right="-164"/>
        <w:jc w:val="both"/>
        <w:rPr>
          <w:rFonts w:ascii="Palatino Linotype" w:hAnsi="Palatino Linotype" w:cs="Arial"/>
          <w:b/>
        </w:rPr>
      </w:pPr>
    </w:p>
    <w:p w14:paraId="75976F25" w14:textId="60521604" w:rsidR="0030072F" w:rsidRPr="00057956" w:rsidRDefault="0030072F" w:rsidP="009640D6">
      <w:pPr>
        <w:spacing w:line="360" w:lineRule="auto"/>
        <w:jc w:val="both"/>
        <w:rPr>
          <w:rFonts w:ascii="Palatino Linotype" w:hAnsi="Palatino Linotype" w:cs="Arial"/>
        </w:rPr>
      </w:pPr>
      <w:r w:rsidRPr="00057956">
        <w:rPr>
          <w:rFonts w:ascii="Palatino Linotype" w:hAnsi="Palatino Linotype" w:cs="Arial"/>
        </w:rPr>
        <w:t>Con fundamento en lo dispuesto por</w:t>
      </w:r>
      <w:r w:rsidR="00260589" w:rsidRPr="00057956">
        <w:rPr>
          <w:rFonts w:ascii="Palatino Linotype" w:hAnsi="Palatino Linotype" w:cs="Arial"/>
        </w:rPr>
        <w:t xml:space="preserve"> el artículo 14, fracciones X y XI del </w:t>
      </w:r>
      <w:r w:rsidRPr="00057956">
        <w:rPr>
          <w:rFonts w:ascii="Palatino Linotype" w:hAnsi="Palatino Linotype" w:cs="Arial"/>
        </w:rPr>
        <w:t>Reglamento Interior del Instituto de Transparencia, Acceso a la Información Pública y Protección de Datos Personales del Estado de México y Municipios, l</w:t>
      </w:r>
      <w:r w:rsidR="00E42755" w:rsidRPr="00057956">
        <w:rPr>
          <w:rFonts w:ascii="Palatino Linotype" w:hAnsi="Palatino Linotype" w:cs="Arial"/>
        </w:rPr>
        <w:t>a</w:t>
      </w:r>
      <w:r w:rsidRPr="00057956">
        <w:rPr>
          <w:rFonts w:ascii="Palatino Linotype" w:hAnsi="Palatino Linotype" w:cs="Arial"/>
        </w:rPr>
        <w:t xml:space="preserve"> que suscribe</w:t>
      </w:r>
      <w:r w:rsidRPr="00057956">
        <w:rPr>
          <w:rFonts w:ascii="Palatino Linotype" w:hAnsi="Palatino Linotype" w:cs="Arial"/>
          <w:b/>
          <w:lang w:val="es-ES_tradnl"/>
        </w:rPr>
        <w:t xml:space="preserve"> </w:t>
      </w:r>
      <w:r w:rsidR="00C822D0" w:rsidRPr="00FF2FE7">
        <w:rPr>
          <w:rFonts w:ascii="Palatino Linotype" w:hAnsi="Palatino Linotype" w:cs="Arial"/>
          <w:lang w:val="es-ES_tradnl"/>
        </w:rPr>
        <w:t>Comisionada</w:t>
      </w:r>
      <w:r w:rsidR="00C822D0">
        <w:rPr>
          <w:rFonts w:ascii="Palatino Linotype" w:hAnsi="Palatino Linotype" w:cs="Arial"/>
          <w:b/>
          <w:lang w:val="es-ES_tradnl"/>
        </w:rPr>
        <w:t xml:space="preserve"> </w:t>
      </w:r>
      <w:r w:rsidR="00C822D0" w:rsidRPr="00057956">
        <w:rPr>
          <w:rFonts w:ascii="Palatino Linotype" w:hAnsi="Palatino Linotype" w:cs="Arial"/>
          <w:b/>
        </w:rPr>
        <w:t>EVA ABAID YAPUR</w:t>
      </w:r>
      <w:r w:rsidR="00C822D0" w:rsidRPr="00FF2FE7">
        <w:rPr>
          <w:rFonts w:ascii="Palatino Linotype" w:hAnsi="Palatino Linotype" w:cs="Arial"/>
          <w:lang w:val="es-ES_tradnl"/>
        </w:rPr>
        <w:t xml:space="preserve"> </w:t>
      </w:r>
      <w:r w:rsidRPr="00057956">
        <w:rPr>
          <w:rFonts w:ascii="Palatino Linotype" w:hAnsi="Palatino Linotype" w:cs="Arial"/>
        </w:rPr>
        <w:t xml:space="preserve">emite </w:t>
      </w:r>
      <w:r w:rsidRPr="00057956">
        <w:rPr>
          <w:rFonts w:ascii="Palatino Linotype" w:hAnsi="Palatino Linotype" w:cs="Arial"/>
          <w:b/>
        </w:rPr>
        <w:t>VOTO PARTICULAR</w:t>
      </w:r>
      <w:r w:rsidR="00714D2E">
        <w:rPr>
          <w:rFonts w:ascii="Palatino Linotype" w:hAnsi="Palatino Linotype" w:cs="Arial"/>
          <w:b/>
        </w:rPr>
        <w:t xml:space="preserve"> </w:t>
      </w:r>
      <w:r w:rsidRPr="00057956">
        <w:rPr>
          <w:rFonts w:ascii="Palatino Linotype" w:hAnsi="Palatino Linotype" w:cs="Arial"/>
        </w:rPr>
        <w:t xml:space="preserve">respecto de la resolución dictada en el recurso de revisión </w:t>
      </w:r>
      <w:r w:rsidR="000F647D" w:rsidRPr="000F647D">
        <w:rPr>
          <w:rFonts w:ascii="Palatino Linotype" w:hAnsi="Palatino Linotype" w:cs="Arial"/>
          <w:b/>
        </w:rPr>
        <w:t>01965/INFOEM/IP/RR/2018</w:t>
      </w:r>
      <w:r w:rsidRPr="00057956">
        <w:rPr>
          <w:rFonts w:ascii="Palatino Linotype" w:hAnsi="Palatino Linotype" w:cs="Arial"/>
        </w:rPr>
        <w:t xml:space="preserve">, pronunciada por el Pleno de este Instituto ante el proyecto presentado por </w:t>
      </w:r>
      <w:r w:rsidR="002C29DA">
        <w:rPr>
          <w:rFonts w:ascii="Palatino Linotype" w:hAnsi="Palatino Linotype" w:cs="Arial"/>
        </w:rPr>
        <w:t>la</w:t>
      </w:r>
      <w:r w:rsidRPr="00057956">
        <w:rPr>
          <w:rFonts w:ascii="Palatino Linotype" w:hAnsi="Palatino Linotype" w:cs="Arial"/>
        </w:rPr>
        <w:t xml:space="preserve"> Comisionad</w:t>
      </w:r>
      <w:r w:rsidR="002C29DA">
        <w:rPr>
          <w:rFonts w:ascii="Palatino Linotype" w:hAnsi="Palatino Linotype" w:cs="Arial"/>
        </w:rPr>
        <w:t xml:space="preserve">a Presidenta </w:t>
      </w:r>
      <w:r w:rsidR="002C29DA">
        <w:rPr>
          <w:rFonts w:ascii="Palatino Linotype" w:hAnsi="Palatino Linotype" w:cs="Arial"/>
          <w:b/>
        </w:rPr>
        <w:t>ZULEMA MARTÍNEZ SÁNCHEZ</w:t>
      </w:r>
      <w:r w:rsidRPr="00057956">
        <w:rPr>
          <w:rFonts w:ascii="Palatino Linotype" w:hAnsi="Palatino Linotype" w:cs="Arial"/>
        </w:rPr>
        <w:t xml:space="preserve">, </w:t>
      </w:r>
      <w:r w:rsidR="00BD67DE" w:rsidRPr="00057956">
        <w:rPr>
          <w:rFonts w:ascii="Palatino Linotype" w:hAnsi="Palatino Linotype" w:cs="Arial"/>
        </w:rPr>
        <w:t>que es del tenor siguiente.</w:t>
      </w:r>
    </w:p>
    <w:p w14:paraId="584BCBF6" w14:textId="77777777" w:rsidR="00773B49" w:rsidRPr="00057956" w:rsidRDefault="00773B49" w:rsidP="009640D6">
      <w:pPr>
        <w:spacing w:line="360" w:lineRule="auto"/>
        <w:jc w:val="both"/>
        <w:rPr>
          <w:rFonts w:ascii="Palatino Linotype" w:eastAsia="Calibri" w:hAnsi="Palatino Linotype" w:cs="Arial"/>
          <w:b/>
          <w:color w:val="000000"/>
        </w:rPr>
      </w:pPr>
    </w:p>
    <w:p w14:paraId="3802A3D4" w14:textId="49C69822" w:rsidR="0007653D" w:rsidRDefault="0007653D" w:rsidP="009640D6">
      <w:pPr>
        <w:spacing w:line="360" w:lineRule="auto"/>
        <w:jc w:val="both"/>
        <w:rPr>
          <w:rFonts w:ascii="Palatino Linotype" w:hAnsi="Palatino Linotype"/>
        </w:rPr>
      </w:pPr>
      <w:r w:rsidRPr="00057956">
        <w:rPr>
          <w:rFonts w:ascii="Palatino Linotype" w:hAnsi="Palatino Linotype"/>
        </w:rPr>
        <w:t xml:space="preserve">Es de destacar, que la suscrita comparte </w:t>
      </w:r>
      <w:r w:rsidR="00A04C79" w:rsidRPr="00057956">
        <w:rPr>
          <w:rFonts w:ascii="Palatino Linotype" w:hAnsi="Palatino Linotype"/>
        </w:rPr>
        <w:t xml:space="preserve">esencialmente el estudio realizado en la resolución </w:t>
      </w:r>
      <w:r w:rsidRPr="00057956">
        <w:rPr>
          <w:rFonts w:ascii="Palatino Linotype" w:hAnsi="Palatino Linotype"/>
        </w:rPr>
        <w:t>del recurso de revis</w:t>
      </w:r>
      <w:r w:rsidR="00D557C2" w:rsidRPr="00057956">
        <w:rPr>
          <w:rFonts w:ascii="Palatino Linotype" w:hAnsi="Palatino Linotype"/>
        </w:rPr>
        <w:t xml:space="preserve">ión; empero, </w:t>
      </w:r>
      <w:r w:rsidR="00F15A43">
        <w:rPr>
          <w:rFonts w:ascii="Palatino Linotype" w:hAnsi="Palatino Linotype"/>
        </w:rPr>
        <w:t>estimo</w:t>
      </w:r>
      <w:r w:rsidR="00F15A43" w:rsidRPr="00057956">
        <w:rPr>
          <w:rFonts w:ascii="Palatino Linotype" w:hAnsi="Palatino Linotype"/>
        </w:rPr>
        <w:t xml:space="preserve"> </w:t>
      </w:r>
      <w:r w:rsidRPr="00057956">
        <w:rPr>
          <w:rFonts w:ascii="Palatino Linotype" w:hAnsi="Palatino Linotype"/>
        </w:rPr>
        <w:t>necesario precisar algunas consideraciones de hecho y de derecho</w:t>
      </w:r>
      <w:r w:rsidR="00AD38F2">
        <w:rPr>
          <w:rFonts w:ascii="Palatino Linotype" w:hAnsi="Palatino Linotype"/>
        </w:rPr>
        <w:t>.</w:t>
      </w:r>
    </w:p>
    <w:p w14:paraId="27BF662E" w14:textId="77777777" w:rsidR="00F15A43" w:rsidRDefault="00F15A43" w:rsidP="009640D6">
      <w:pPr>
        <w:spacing w:line="360" w:lineRule="auto"/>
        <w:jc w:val="both"/>
        <w:rPr>
          <w:rFonts w:ascii="Palatino Linotype" w:hAnsi="Palatino Linotype"/>
        </w:rPr>
      </w:pPr>
    </w:p>
    <w:p w14:paraId="0CAE5123" w14:textId="2D2615A4" w:rsidR="002C29DA" w:rsidRDefault="0007653D" w:rsidP="009640D6">
      <w:pPr>
        <w:spacing w:line="360" w:lineRule="auto"/>
        <w:jc w:val="both"/>
        <w:rPr>
          <w:rFonts w:ascii="Palatino Linotype" w:hAnsi="Palatino Linotype" w:cs="Arial"/>
        </w:rPr>
      </w:pPr>
      <w:r w:rsidRPr="00057956">
        <w:rPr>
          <w:rFonts w:ascii="Palatino Linotype" w:hAnsi="Palatino Linotype"/>
        </w:rPr>
        <w:t xml:space="preserve">Al respecto, tal y como quedó debidamente asentado en la resolución materia del presente voto, el particular </w:t>
      </w:r>
      <w:r w:rsidR="008C0700" w:rsidRPr="00057956">
        <w:rPr>
          <w:rFonts w:ascii="Palatino Linotype" w:hAnsi="Palatino Linotype"/>
        </w:rPr>
        <w:t>requirió de</w:t>
      </w:r>
      <w:r w:rsidR="000F647D">
        <w:rPr>
          <w:rFonts w:ascii="Palatino Linotype" w:hAnsi="Palatino Linotype"/>
        </w:rPr>
        <w:t xml:space="preserve"> </w:t>
      </w:r>
      <w:r w:rsidR="008C0700" w:rsidRPr="00057956">
        <w:rPr>
          <w:rFonts w:ascii="Palatino Linotype" w:hAnsi="Palatino Linotype"/>
        </w:rPr>
        <w:t>l</w:t>
      </w:r>
      <w:r w:rsidR="000F647D">
        <w:rPr>
          <w:rFonts w:ascii="Palatino Linotype" w:hAnsi="Palatino Linotype"/>
        </w:rPr>
        <w:t>a</w:t>
      </w:r>
      <w:r w:rsidR="008C0700" w:rsidRPr="00057956">
        <w:rPr>
          <w:rFonts w:ascii="Palatino Linotype" w:hAnsi="Palatino Linotype"/>
        </w:rPr>
        <w:t xml:space="preserve"> </w:t>
      </w:r>
      <w:r w:rsidR="000F647D" w:rsidRPr="000F647D">
        <w:rPr>
          <w:rFonts w:ascii="Palatino Linotype" w:hAnsi="Palatino Linotype"/>
          <w:b/>
        </w:rPr>
        <w:t xml:space="preserve">Universidad Politécnica de </w:t>
      </w:r>
      <w:proofErr w:type="spellStart"/>
      <w:r w:rsidR="000F647D" w:rsidRPr="000F647D">
        <w:rPr>
          <w:rFonts w:ascii="Palatino Linotype" w:hAnsi="Palatino Linotype"/>
          <w:b/>
        </w:rPr>
        <w:t>Otzolotepec</w:t>
      </w:r>
      <w:proofErr w:type="spellEnd"/>
      <w:r w:rsidR="00AD38F2">
        <w:rPr>
          <w:rFonts w:ascii="Palatino Linotype" w:hAnsi="Palatino Linotype"/>
          <w:b/>
        </w:rPr>
        <w:t>,</w:t>
      </w:r>
      <w:r w:rsidR="002C29DA" w:rsidRPr="002C29DA">
        <w:rPr>
          <w:rFonts w:ascii="Palatino Linotype" w:hAnsi="Palatino Linotype"/>
        </w:rPr>
        <w:t xml:space="preserve"> </w:t>
      </w:r>
      <w:r w:rsidR="002C29DA">
        <w:rPr>
          <w:rFonts w:ascii="Palatino Linotype" w:hAnsi="Palatino Linotype"/>
        </w:rPr>
        <w:t xml:space="preserve">en </w:t>
      </w:r>
      <w:r w:rsidR="002C29DA">
        <w:rPr>
          <w:rFonts w:ascii="Palatino Linotype" w:hAnsi="Palatino Linotype"/>
        </w:rPr>
        <w:lastRenderedPageBreak/>
        <w:t xml:space="preserve">lo sucesivo </w:t>
      </w:r>
      <w:r w:rsidR="002C29DA" w:rsidRPr="002C29DA">
        <w:rPr>
          <w:rFonts w:ascii="Palatino Linotype" w:hAnsi="Palatino Linotype"/>
          <w:b/>
        </w:rPr>
        <w:t>EL</w:t>
      </w:r>
      <w:r w:rsidR="002C29DA">
        <w:rPr>
          <w:rFonts w:ascii="Palatino Linotype" w:hAnsi="Palatino Linotype"/>
          <w:b/>
        </w:rPr>
        <w:t xml:space="preserve"> </w:t>
      </w:r>
      <w:r w:rsidR="008C0700" w:rsidRPr="00057956">
        <w:rPr>
          <w:rFonts w:ascii="Palatino Linotype" w:hAnsi="Palatino Linotype"/>
          <w:b/>
        </w:rPr>
        <w:t>SUJETO OBLIGADO</w:t>
      </w:r>
      <w:r w:rsidR="002C29DA">
        <w:rPr>
          <w:rFonts w:ascii="Palatino Linotype" w:hAnsi="Palatino Linotype"/>
          <w:b/>
        </w:rPr>
        <w:t>,</w:t>
      </w:r>
      <w:r w:rsidR="008C0700" w:rsidRPr="00057956">
        <w:rPr>
          <w:rFonts w:ascii="Palatino Linotype" w:hAnsi="Palatino Linotype"/>
        </w:rPr>
        <w:t xml:space="preserve"> </w:t>
      </w:r>
      <w:r w:rsidR="003102FA" w:rsidRPr="00057956">
        <w:rPr>
          <w:rFonts w:ascii="Palatino Linotype" w:hAnsi="Palatino Linotype"/>
        </w:rPr>
        <w:t>vía SAIMEX,</w:t>
      </w:r>
      <w:r w:rsidR="000D66DE" w:rsidRPr="00057956">
        <w:rPr>
          <w:rFonts w:ascii="Palatino Linotype" w:hAnsi="Palatino Linotype" w:cs="Arial"/>
        </w:rPr>
        <w:t xml:space="preserve"> </w:t>
      </w:r>
      <w:r w:rsidR="000C1A85" w:rsidRPr="00057956">
        <w:rPr>
          <w:rFonts w:ascii="Palatino Linotype" w:hAnsi="Palatino Linotype" w:cs="Arial"/>
        </w:rPr>
        <w:t xml:space="preserve">se le </w:t>
      </w:r>
      <w:r w:rsidR="00773B49" w:rsidRPr="00057956">
        <w:rPr>
          <w:rFonts w:ascii="Palatino Linotype" w:hAnsi="Palatino Linotype" w:cs="Arial"/>
        </w:rPr>
        <w:t>proporcionara</w:t>
      </w:r>
      <w:r w:rsidR="000F647D" w:rsidRPr="000F647D">
        <w:t xml:space="preserve"> </w:t>
      </w:r>
      <w:r w:rsidR="000F647D" w:rsidRPr="00360BE3">
        <w:rPr>
          <w:rFonts w:ascii="Palatino Linotype" w:hAnsi="Palatino Linotype"/>
        </w:rPr>
        <w:t>el h</w:t>
      </w:r>
      <w:r w:rsidR="000F647D" w:rsidRPr="00360BE3">
        <w:rPr>
          <w:rFonts w:ascii="Palatino Linotype" w:hAnsi="Palatino Linotype" w:cs="Arial"/>
        </w:rPr>
        <w:t>istórico</w:t>
      </w:r>
      <w:r w:rsidR="000F647D" w:rsidRPr="000F647D">
        <w:rPr>
          <w:rFonts w:ascii="Palatino Linotype" w:hAnsi="Palatino Linotype" w:cs="Arial"/>
        </w:rPr>
        <w:t xml:space="preserve"> de </w:t>
      </w:r>
      <w:r w:rsidR="000F647D">
        <w:rPr>
          <w:rFonts w:ascii="Palatino Linotype" w:hAnsi="Palatino Linotype" w:cs="Arial"/>
        </w:rPr>
        <w:t xml:space="preserve">los </w:t>
      </w:r>
      <w:r w:rsidR="000F647D" w:rsidRPr="000F647D">
        <w:rPr>
          <w:rFonts w:ascii="Palatino Linotype" w:hAnsi="Palatino Linotype" w:cs="Arial"/>
        </w:rPr>
        <w:t>estados financieros</w:t>
      </w:r>
      <w:r w:rsidR="000F647D">
        <w:rPr>
          <w:rFonts w:ascii="Palatino Linotype" w:hAnsi="Palatino Linotype" w:cs="Arial"/>
        </w:rPr>
        <w:t>.</w:t>
      </w:r>
    </w:p>
    <w:p w14:paraId="400C264C" w14:textId="77777777" w:rsidR="000F647D" w:rsidRPr="00057956" w:rsidRDefault="000F647D" w:rsidP="009640D6">
      <w:pPr>
        <w:spacing w:line="360" w:lineRule="auto"/>
        <w:jc w:val="both"/>
        <w:rPr>
          <w:rFonts w:ascii="Palatino Linotype" w:hAnsi="Palatino Linotype" w:cs="Arial"/>
        </w:rPr>
      </w:pPr>
    </w:p>
    <w:p w14:paraId="133544AF" w14:textId="4754E7F8" w:rsidR="000F647D" w:rsidRDefault="00910602" w:rsidP="009640D6">
      <w:pPr>
        <w:spacing w:line="360" w:lineRule="auto"/>
        <w:jc w:val="both"/>
        <w:rPr>
          <w:rFonts w:ascii="Palatino Linotype" w:hAnsi="Palatino Linotype" w:cs="Arial"/>
        </w:rPr>
      </w:pPr>
      <w:r>
        <w:rPr>
          <w:rFonts w:ascii="Palatino Linotype" w:hAnsi="Palatino Linotype" w:cs="Arial"/>
        </w:rPr>
        <w:t>Del expediente electrónico</w:t>
      </w:r>
      <w:r w:rsidR="00360BE3">
        <w:rPr>
          <w:rFonts w:ascii="Palatino Linotype" w:hAnsi="Palatino Linotype" w:cs="Arial"/>
        </w:rPr>
        <w:t>,</w:t>
      </w:r>
      <w:r>
        <w:rPr>
          <w:rFonts w:ascii="Palatino Linotype" w:hAnsi="Palatino Linotype" w:cs="Arial"/>
        </w:rPr>
        <w:t xml:space="preserve"> se advierte que</w:t>
      </w:r>
      <w:r w:rsidR="00B57FE6" w:rsidRPr="00057956">
        <w:rPr>
          <w:rFonts w:ascii="Palatino Linotype" w:hAnsi="Palatino Linotype" w:cs="Arial"/>
        </w:rPr>
        <w:t xml:space="preserve"> </w:t>
      </w:r>
      <w:r w:rsidR="00B57FE6" w:rsidRPr="00057956">
        <w:rPr>
          <w:rFonts w:ascii="Palatino Linotype" w:hAnsi="Palatino Linotype" w:cs="Arial"/>
          <w:b/>
        </w:rPr>
        <w:t>EL SUJETO OBLIGADO</w:t>
      </w:r>
      <w:r w:rsidR="00B57FE6" w:rsidRPr="00057956">
        <w:rPr>
          <w:rFonts w:ascii="Palatino Linotype" w:hAnsi="Palatino Linotype" w:cs="Arial"/>
        </w:rPr>
        <w:t xml:space="preserve"> </w:t>
      </w:r>
      <w:r w:rsidR="000F647D">
        <w:rPr>
          <w:rFonts w:ascii="Palatino Linotype" w:hAnsi="Palatino Linotype" w:cs="Arial"/>
        </w:rPr>
        <w:t xml:space="preserve">fue omiso en atender la solicitud de acceso a la información pública del ahora </w:t>
      </w:r>
      <w:r w:rsidR="00033522">
        <w:rPr>
          <w:rFonts w:ascii="Palatino Linotype" w:hAnsi="Palatino Linotype" w:cs="Arial"/>
          <w:b/>
        </w:rPr>
        <w:t xml:space="preserve">RECURRENTE </w:t>
      </w:r>
      <w:r w:rsidR="000F647D">
        <w:rPr>
          <w:rFonts w:ascii="Palatino Linotype" w:hAnsi="Palatino Linotype" w:cs="Arial"/>
        </w:rPr>
        <w:t>por lo que éste</w:t>
      </w:r>
      <w:r w:rsidR="00955137">
        <w:rPr>
          <w:rFonts w:ascii="Palatino Linotype" w:hAnsi="Palatino Linotype" w:cs="Arial"/>
        </w:rPr>
        <w:t xml:space="preserve"> procedió a interponer el recurso de revisión de mérito, adoleciéndose precisamente de</w:t>
      </w:r>
      <w:r w:rsidR="000F647D">
        <w:rPr>
          <w:rFonts w:ascii="Palatino Linotype" w:hAnsi="Palatino Linotype" w:cs="Arial"/>
        </w:rPr>
        <w:t>l silencio</w:t>
      </w:r>
      <w:r w:rsidR="00360BE3">
        <w:rPr>
          <w:rFonts w:ascii="Palatino Linotype" w:hAnsi="Palatino Linotype" w:cs="Arial"/>
        </w:rPr>
        <w:t xml:space="preserve"> administrativo</w:t>
      </w:r>
      <w:r w:rsidR="000F647D">
        <w:rPr>
          <w:rFonts w:ascii="Palatino Linotype" w:hAnsi="Palatino Linotype" w:cs="Arial"/>
        </w:rPr>
        <w:t xml:space="preserve"> de la Autoridad.</w:t>
      </w:r>
    </w:p>
    <w:p w14:paraId="6766935A" w14:textId="77777777" w:rsidR="000F647D" w:rsidRDefault="000F647D" w:rsidP="009640D6">
      <w:pPr>
        <w:spacing w:line="360" w:lineRule="auto"/>
        <w:jc w:val="both"/>
        <w:rPr>
          <w:rFonts w:ascii="Palatino Linotype" w:hAnsi="Palatino Linotype" w:cs="Arial"/>
        </w:rPr>
      </w:pPr>
    </w:p>
    <w:p w14:paraId="163C3C97" w14:textId="0F55F991" w:rsidR="00910602" w:rsidRDefault="000F647D" w:rsidP="009640D6">
      <w:pPr>
        <w:spacing w:line="360" w:lineRule="auto"/>
        <w:jc w:val="both"/>
        <w:rPr>
          <w:rFonts w:ascii="Palatino Linotype" w:hAnsi="Palatino Linotype" w:cs="Arial"/>
        </w:rPr>
      </w:pPr>
      <w:r w:rsidRPr="000F647D">
        <w:rPr>
          <w:rFonts w:ascii="Palatino Linotype" w:hAnsi="Palatino Linotype" w:cs="Arial"/>
        </w:rPr>
        <w:t>En fecha veintisiete de junio de dos mil dieciocho</w:t>
      </w:r>
      <w:r w:rsidR="00360BE3">
        <w:rPr>
          <w:rFonts w:ascii="Palatino Linotype" w:hAnsi="Palatino Linotype" w:cs="Arial"/>
        </w:rPr>
        <w:t>,</w:t>
      </w:r>
      <w:r w:rsidRPr="000F647D">
        <w:rPr>
          <w:rFonts w:ascii="Palatino Linotype" w:hAnsi="Palatino Linotype" w:cs="Arial"/>
        </w:rPr>
        <w:t xml:space="preserve"> </w:t>
      </w:r>
      <w:r w:rsidRPr="000F647D">
        <w:rPr>
          <w:rFonts w:ascii="Palatino Linotype" w:hAnsi="Palatino Linotype" w:cs="Arial"/>
          <w:b/>
        </w:rPr>
        <w:t>EL SUJETO OBLIGADO</w:t>
      </w:r>
      <w:r w:rsidRPr="000F647D">
        <w:rPr>
          <w:rFonts w:ascii="Palatino Linotype" w:hAnsi="Palatino Linotype" w:cs="Arial"/>
        </w:rPr>
        <w:t xml:space="preserve"> presentó </w:t>
      </w:r>
      <w:r>
        <w:rPr>
          <w:rFonts w:ascii="Palatino Linotype" w:hAnsi="Palatino Linotype" w:cs="Arial"/>
        </w:rPr>
        <w:t xml:space="preserve">a este Órgano Garante </w:t>
      </w:r>
      <w:r w:rsidRPr="000F647D">
        <w:rPr>
          <w:rFonts w:ascii="Palatino Linotype" w:hAnsi="Palatino Linotype" w:cs="Arial"/>
        </w:rPr>
        <w:t xml:space="preserve">el oficio número </w:t>
      </w:r>
      <w:r w:rsidRPr="000F647D">
        <w:rPr>
          <w:rFonts w:ascii="Palatino Linotype" w:hAnsi="Palatino Linotype" w:cs="Arial"/>
          <w:i/>
        </w:rPr>
        <w:t>205BV10000/161/2018</w:t>
      </w:r>
      <w:r w:rsidRPr="000F647D">
        <w:rPr>
          <w:rFonts w:ascii="Palatino Linotype" w:hAnsi="Palatino Linotype" w:cs="Arial"/>
        </w:rPr>
        <w:t>, por medio del cual</w:t>
      </w:r>
      <w:r>
        <w:rPr>
          <w:rFonts w:ascii="Palatino Linotype" w:hAnsi="Palatino Linotype" w:cs="Arial"/>
        </w:rPr>
        <w:t xml:space="preserve"> adjuntó información financiera tendiente a colmar el derecho del particular.</w:t>
      </w:r>
    </w:p>
    <w:p w14:paraId="3E8E424F" w14:textId="77777777" w:rsidR="000F647D" w:rsidRPr="00033522" w:rsidRDefault="000F647D" w:rsidP="009640D6">
      <w:pPr>
        <w:spacing w:line="360" w:lineRule="auto"/>
        <w:jc w:val="both"/>
        <w:rPr>
          <w:rFonts w:ascii="Palatino Linotype" w:hAnsi="Palatino Linotype" w:cs="Arial"/>
        </w:rPr>
      </w:pPr>
    </w:p>
    <w:p w14:paraId="621BBA3A" w14:textId="39D937C7" w:rsidR="00955137" w:rsidRDefault="007C0FDA" w:rsidP="009640D6">
      <w:pPr>
        <w:spacing w:line="360" w:lineRule="auto"/>
        <w:jc w:val="both"/>
        <w:rPr>
          <w:rFonts w:ascii="Palatino Linotype" w:hAnsi="Palatino Linotype" w:cs="Arial"/>
          <w:b/>
        </w:rPr>
      </w:pPr>
      <w:r w:rsidRPr="00057956">
        <w:rPr>
          <w:rFonts w:ascii="Palatino Linotype" w:hAnsi="Palatino Linotype" w:cs="Arial"/>
        </w:rPr>
        <w:t xml:space="preserve">Así, </w:t>
      </w:r>
      <w:r w:rsidR="00B5072E" w:rsidRPr="00057956">
        <w:rPr>
          <w:rFonts w:ascii="Palatino Linotype" w:hAnsi="Palatino Linotype" w:cs="Arial"/>
        </w:rPr>
        <w:t>de</w:t>
      </w:r>
      <w:r w:rsidRPr="00057956">
        <w:rPr>
          <w:rFonts w:ascii="Palatino Linotype" w:hAnsi="Palatino Linotype" w:cs="Arial"/>
        </w:rPr>
        <w:t xml:space="preserve">l estudio </w:t>
      </w:r>
      <w:r w:rsidR="00B5072E" w:rsidRPr="00057956">
        <w:rPr>
          <w:rFonts w:ascii="Palatino Linotype" w:hAnsi="Palatino Linotype" w:cs="Arial"/>
        </w:rPr>
        <w:t>d</w:t>
      </w:r>
      <w:r w:rsidR="00B5072E" w:rsidRPr="00057956">
        <w:rPr>
          <w:rFonts w:ascii="Palatino Linotype" w:hAnsi="Palatino Linotype"/>
        </w:rPr>
        <w:t>el expediente electrónico</w:t>
      </w:r>
      <w:r w:rsidRPr="00057956">
        <w:rPr>
          <w:rFonts w:ascii="Palatino Linotype" w:hAnsi="Palatino Linotype" w:cs="Arial"/>
        </w:rPr>
        <w:t xml:space="preserve">, </w:t>
      </w:r>
      <w:r w:rsidR="0007653D" w:rsidRPr="00057956">
        <w:rPr>
          <w:rFonts w:ascii="Palatino Linotype" w:hAnsi="Palatino Linotype" w:cs="Arial"/>
        </w:rPr>
        <w:t xml:space="preserve">la Ponencia </w:t>
      </w:r>
      <w:proofErr w:type="spellStart"/>
      <w:r w:rsidR="0007653D" w:rsidRPr="00057956">
        <w:rPr>
          <w:rFonts w:ascii="Palatino Linotype" w:hAnsi="Palatino Linotype" w:cs="Arial"/>
        </w:rPr>
        <w:t>Resolut</w:t>
      </w:r>
      <w:r w:rsidR="00414E48" w:rsidRPr="00057956">
        <w:rPr>
          <w:rFonts w:ascii="Palatino Linotype" w:hAnsi="Palatino Linotype" w:cs="Arial"/>
        </w:rPr>
        <w:t>o</w:t>
      </w:r>
      <w:r w:rsidR="0007653D" w:rsidRPr="00057956">
        <w:rPr>
          <w:rFonts w:ascii="Palatino Linotype" w:hAnsi="Palatino Linotype" w:cs="Arial"/>
        </w:rPr>
        <w:t>ra</w:t>
      </w:r>
      <w:proofErr w:type="spellEnd"/>
      <w:r w:rsidR="0007653D" w:rsidRPr="00057956">
        <w:rPr>
          <w:rFonts w:ascii="Palatino Linotype" w:hAnsi="Palatino Linotype" w:cs="Arial"/>
        </w:rPr>
        <w:t xml:space="preserve"> </w:t>
      </w:r>
      <w:r w:rsidR="00AD38F2" w:rsidRPr="00057956">
        <w:rPr>
          <w:rFonts w:ascii="Palatino Linotype" w:hAnsi="Palatino Linotype" w:cs="Arial"/>
        </w:rPr>
        <w:t>estableció</w:t>
      </w:r>
      <w:r w:rsidRPr="00057956">
        <w:rPr>
          <w:rFonts w:ascii="Palatino Linotype" w:hAnsi="Palatino Linotype" w:cs="Arial"/>
        </w:rPr>
        <w:t xml:space="preserve"> </w:t>
      </w:r>
      <w:r w:rsidR="0044455A">
        <w:rPr>
          <w:rFonts w:ascii="Palatino Linotype" w:hAnsi="Palatino Linotype" w:cs="Arial"/>
        </w:rPr>
        <w:t xml:space="preserve">que </w:t>
      </w:r>
      <w:r w:rsidR="0044455A" w:rsidRPr="0044455A">
        <w:rPr>
          <w:rFonts w:ascii="Palatino Linotype" w:hAnsi="Palatino Linotype" w:cs="Arial"/>
        </w:rPr>
        <w:t xml:space="preserve">los motivos de inconformidad aducidos por </w:t>
      </w:r>
      <w:r w:rsidR="0044455A" w:rsidRPr="0044455A">
        <w:rPr>
          <w:rFonts w:ascii="Palatino Linotype" w:hAnsi="Palatino Linotype" w:cs="Arial"/>
          <w:b/>
        </w:rPr>
        <w:t>EL RECURRENTE</w:t>
      </w:r>
      <w:r w:rsidR="00955137">
        <w:rPr>
          <w:rFonts w:ascii="Palatino Linotype" w:hAnsi="Palatino Linotype" w:cs="Arial"/>
        </w:rPr>
        <w:t xml:space="preserve"> resulta</w:t>
      </w:r>
      <w:r w:rsidR="00AD38F2">
        <w:rPr>
          <w:rFonts w:ascii="Palatino Linotype" w:hAnsi="Palatino Linotype" w:cs="Arial"/>
        </w:rPr>
        <w:t>ba</w:t>
      </w:r>
      <w:r w:rsidR="00955137">
        <w:rPr>
          <w:rFonts w:ascii="Palatino Linotype" w:hAnsi="Palatino Linotype" w:cs="Arial"/>
        </w:rPr>
        <w:t xml:space="preserve">n </w:t>
      </w:r>
      <w:r w:rsidR="0044455A" w:rsidRPr="0044455A">
        <w:rPr>
          <w:rFonts w:ascii="Palatino Linotype" w:hAnsi="Palatino Linotype" w:cs="Arial"/>
        </w:rPr>
        <w:t xml:space="preserve">fundados, y por ende, </w:t>
      </w:r>
      <w:r w:rsidR="00955137">
        <w:rPr>
          <w:rFonts w:ascii="Palatino Linotype" w:hAnsi="Palatino Linotype" w:cs="Arial"/>
        </w:rPr>
        <w:t xml:space="preserve">determinó </w:t>
      </w:r>
      <w:r w:rsidR="000F647D">
        <w:rPr>
          <w:rFonts w:ascii="Palatino Linotype" w:hAnsi="Palatino Linotype" w:cs="Arial"/>
          <w:b/>
        </w:rPr>
        <w:t>ORDENAR</w:t>
      </w:r>
      <w:r w:rsidR="00955137" w:rsidRPr="00955137">
        <w:rPr>
          <w:rFonts w:ascii="Palatino Linotype" w:hAnsi="Palatino Linotype" w:cs="Arial"/>
          <w:b/>
        </w:rPr>
        <w:t xml:space="preserve"> </w:t>
      </w:r>
      <w:r w:rsidR="000F647D">
        <w:rPr>
          <w:rFonts w:ascii="Palatino Linotype" w:hAnsi="Palatino Linotype" w:cs="Arial"/>
        </w:rPr>
        <w:t>a</w:t>
      </w:r>
      <w:r w:rsidR="00955137" w:rsidRPr="00955137">
        <w:rPr>
          <w:rFonts w:ascii="Palatino Linotype" w:hAnsi="Palatino Linotype" w:cs="Arial"/>
        </w:rPr>
        <w:t xml:space="preserve">l </w:t>
      </w:r>
      <w:r w:rsidR="00955137" w:rsidRPr="00955137">
        <w:rPr>
          <w:rFonts w:ascii="Palatino Linotype" w:hAnsi="Palatino Linotype" w:cs="Arial"/>
          <w:b/>
        </w:rPr>
        <w:t>SUJETO OBLIGADO</w:t>
      </w:r>
      <w:r w:rsidR="00955137" w:rsidRPr="00955137">
        <w:rPr>
          <w:rFonts w:ascii="Palatino Linotype" w:hAnsi="Palatino Linotype" w:cs="Arial"/>
        </w:rPr>
        <w:t xml:space="preserve">, </w:t>
      </w:r>
      <w:r w:rsidR="00360BE3">
        <w:rPr>
          <w:rFonts w:ascii="Palatino Linotype" w:hAnsi="Palatino Linotype" w:cs="Arial"/>
        </w:rPr>
        <w:t>hiciera</w:t>
      </w:r>
      <w:r w:rsidR="000F647D">
        <w:rPr>
          <w:rFonts w:ascii="Palatino Linotype" w:hAnsi="Palatino Linotype" w:cs="Arial"/>
        </w:rPr>
        <w:t xml:space="preserve"> entrega </w:t>
      </w:r>
      <w:r w:rsidR="00955137">
        <w:rPr>
          <w:rFonts w:ascii="Palatino Linotype" w:hAnsi="Palatino Linotype" w:cs="Arial"/>
        </w:rPr>
        <w:t>de</w:t>
      </w:r>
      <w:r w:rsidR="00955137" w:rsidRPr="00955137">
        <w:rPr>
          <w:rFonts w:ascii="Palatino Linotype" w:hAnsi="Palatino Linotype" w:cs="Arial"/>
        </w:rPr>
        <w:t xml:space="preserve"> lo siguiente:</w:t>
      </w:r>
    </w:p>
    <w:p w14:paraId="63D256C6" w14:textId="5CC41F3B" w:rsidR="00955137" w:rsidRPr="00955137" w:rsidRDefault="00955137" w:rsidP="009640D6">
      <w:pPr>
        <w:spacing w:line="360" w:lineRule="auto"/>
        <w:jc w:val="both"/>
        <w:rPr>
          <w:rFonts w:ascii="Palatino Linotype" w:hAnsi="Palatino Linotype" w:cs="Arial"/>
          <w:b/>
        </w:rPr>
      </w:pPr>
      <w:r w:rsidRPr="00955137">
        <w:rPr>
          <w:rFonts w:ascii="Palatino Linotype" w:hAnsi="Palatino Linotype" w:cs="Arial"/>
          <w:b/>
        </w:rPr>
        <w:t xml:space="preserve"> </w:t>
      </w:r>
    </w:p>
    <w:p w14:paraId="4AC0A716" w14:textId="77777777" w:rsidR="000F647D" w:rsidRPr="000F647D" w:rsidRDefault="000F647D" w:rsidP="00087027">
      <w:pPr>
        <w:pStyle w:val="Prrafodelista"/>
        <w:numPr>
          <w:ilvl w:val="0"/>
          <w:numId w:val="13"/>
        </w:numPr>
        <w:ind w:left="993" w:right="757" w:hanging="284"/>
        <w:contextualSpacing w:val="0"/>
        <w:jc w:val="both"/>
        <w:rPr>
          <w:rFonts w:ascii="Palatino Linotype" w:hAnsi="Palatino Linotype"/>
          <w:i/>
          <w:sz w:val="22"/>
        </w:rPr>
      </w:pPr>
      <w:r w:rsidRPr="000F647D">
        <w:rPr>
          <w:rFonts w:ascii="Palatino Linotype" w:hAnsi="Palatino Linotype"/>
          <w:i/>
          <w:color w:val="000000"/>
          <w:sz w:val="22"/>
        </w:rPr>
        <w:t>Las</w:t>
      </w:r>
      <w:r w:rsidRPr="000F647D">
        <w:rPr>
          <w:rFonts w:ascii="Palatino Linotype" w:hAnsi="Palatino Linotype" w:cs="Arial"/>
          <w:i/>
          <w:sz w:val="22"/>
        </w:rPr>
        <w:t xml:space="preserve"> Notas a los Estados Financieros</w:t>
      </w:r>
      <w:r w:rsidRPr="000F647D">
        <w:rPr>
          <w:rFonts w:ascii="Palatino Linotype" w:hAnsi="Palatino Linotype"/>
          <w:i/>
          <w:color w:val="000000"/>
          <w:sz w:val="22"/>
        </w:rPr>
        <w:t xml:space="preserve"> </w:t>
      </w:r>
      <w:r w:rsidRPr="000F647D">
        <w:rPr>
          <w:rFonts w:ascii="Palatino Linotype" w:hAnsi="Palatino Linotype" w:cs="Arial"/>
          <w:i/>
          <w:sz w:val="22"/>
        </w:rPr>
        <w:t>del año 2014 a abril de 2018</w:t>
      </w:r>
      <w:r w:rsidRPr="000F647D">
        <w:rPr>
          <w:rFonts w:ascii="Palatino Linotype" w:hAnsi="Palatino Linotype"/>
          <w:i/>
          <w:color w:val="000000"/>
          <w:sz w:val="22"/>
        </w:rPr>
        <w:t>.</w:t>
      </w:r>
    </w:p>
    <w:p w14:paraId="67086C57" w14:textId="77777777" w:rsidR="000F647D" w:rsidRPr="000F647D" w:rsidRDefault="000F647D" w:rsidP="00087027">
      <w:pPr>
        <w:pStyle w:val="Prrafodelista"/>
        <w:ind w:left="993" w:right="757"/>
        <w:contextualSpacing w:val="0"/>
        <w:jc w:val="both"/>
        <w:rPr>
          <w:rFonts w:ascii="Palatino Linotype" w:hAnsi="Palatino Linotype"/>
          <w:i/>
          <w:sz w:val="22"/>
        </w:rPr>
      </w:pPr>
    </w:p>
    <w:p w14:paraId="4B6B1354" w14:textId="77777777" w:rsidR="000F647D" w:rsidRPr="000F647D" w:rsidRDefault="000F647D" w:rsidP="00087027">
      <w:pPr>
        <w:pStyle w:val="Prrafodelista"/>
        <w:numPr>
          <w:ilvl w:val="0"/>
          <w:numId w:val="13"/>
        </w:numPr>
        <w:ind w:left="993" w:right="757" w:hanging="284"/>
        <w:contextualSpacing w:val="0"/>
        <w:jc w:val="both"/>
        <w:rPr>
          <w:rFonts w:ascii="Palatino Linotype" w:hAnsi="Palatino Linotype"/>
          <w:i/>
          <w:sz w:val="22"/>
        </w:rPr>
      </w:pPr>
      <w:r w:rsidRPr="000F647D">
        <w:rPr>
          <w:rFonts w:ascii="Palatino Linotype" w:hAnsi="Palatino Linotype" w:cs="Segoe UI"/>
          <w:i/>
          <w:sz w:val="22"/>
        </w:rPr>
        <w:t xml:space="preserve">Los Estados de Situación Financiera, Estado Analítico del Activo, Estado Analítico de la Deuda y Otros Pasivos, Estado de Actividades, Estado de Variación en la Hacienda Pública, Estado de Flujos de Efectivo y Estado de Cambios en  la Situación Financiera, de los años 2014, 2015 y 2016. </w:t>
      </w:r>
    </w:p>
    <w:p w14:paraId="29AC9FC5" w14:textId="77777777" w:rsidR="000F647D" w:rsidRPr="000F647D" w:rsidRDefault="000F647D" w:rsidP="00087027">
      <w:pPr>
        <w:pStyle w:val="Prrafodelista"/>
        <w:rPr>
          <w:rFonts w:ascii="Palatino Linotype" w:hAnsi="Palatino Linotype" w:cs="Segoe UI"/>
          <w:i/>
          <w:sz w:val="22"/>
        </w:rPr>
      </w:pPr>
    </w:p>
    <w:p w14:paraId="5DBCAE87" w14:textId="65D14E10" w:rsidR="000F647D" w:rsidRPr="00087027" w:rsidRDefault="000F647D" w:rsidP="00087027">
      <w:pPr>
        <w:pStyle w:val="Prrafodelista"/>
        <w:numPr>
          <w:ilvl w:val="0"/>
          <w:numId w:val="13"/>
        </w:numPr>
        <w:ind w:left="993" w:right="757" w:hanging="284"/>
        <w:contextualSpacing w:val="0"/>
        <w:jc w:val="both"/>
        <w:rPr>
          <w:rFonts w:ascii="Palatino Linotype" w:hAnsi="Palatino Linotype"/>
          <w:i/>
          <w:sz w:val="22"/>
        </w:rPr>
      </w:pPr>
      <w:r w:rsidRPr="000F647D">
        <w:rPr>
          <w:rFonts w:ascii="Palatino Linotype" w:hAnsi="Palatino Linotype" w:cs="Segoe UI"/>
          <w:i/>
          <w:sz w:val="22"/>
        </w:rPr>
        <w:t>El Estado Analítico del Activo, Estado Analítico de la Deuda y Otros Pasivos, Estado de Variación en la Hacienda Pública y Estado de Cambios en  la Situación Financiera, de enero a abril de 2018.</w:t>
      </w:r>
    </w:p>
    <w:p w14:paraId="0EE35DD4" w14:textId="4DE4CCDB" w:rsidR="0032699C" w:rsidRDefault="00C766EF" w:rsidP="009640D6">
      <w:pPr>
        <w:spacing w:line="360" w:lineRule="auto"/>
        <w:jc w:val="both"/>
        <w:rPr>
          <w:rFonts w:ascii="Palatino Linotype" w:hAnsi="Palatino Linotype" w:cs="Arial"/>
          <w:lang w:val="es-MX"/>
        </w:rPr>
      </w:pPr>
      <w:r w:rsidRPr="00057956">
        <w:rPr>
          <w:rFonts w:ascii="Palatino Linotype" w:hAnsi="Palatino Linotype" w:cs="Arial"/>
          <w:lang w:val="es-MX"/>
        </w:rPr>
        <w:lastRenderedPageBreak/>
        <w:t xml:space="preserve">En ese sentido, la que suscribe reitera, que si bien coincide en términos generales </w:t>
      </w:r>
      <w:r w:rsidR="003169F5" w:rsidRPr="00057956">
        <w:rPr>
          <w:rFonts w:ascii="Palatino Linotype" w:hAnsi="Palatino Linotype" w:cs="Arial"/>
          <w:lang w:val="es-MX"/>
        </w:rPr>
        <w:t>con</w:t>
      </w:r>
      <w:r w:rsidRPr="00057956">
        <w:rPr>
          <w:rFonts w:ascii="Palatino Linotype" w:hAnsi="Palatino Linotype" w:cs="Arial"/>
          <w:lang w:val="es-MX"/>
        </w:rPr>
        <w:t xml:space="preserve"> el estudio de la resolución en comento, </w:t>
      </w:r>
      <w:r w:rsidR="00021D68" w:rsidRPr="00057956">
        <w:rPr>
          <w:rFonts w:ascii="Palatino Linotype" w:hAnsi="Palatino Linotype" w:cs="Arial"/>
          <w:lang w:val="es-MX"/>
        </w:rPr>
        <w:t>consider</w:t>
      </w:r>
      <w:r w:rsidR="00910602">
        <w:rPr>
          <w:rFonts w:ascii="Palatino Linotype" w:hAnsi="Palatino Linotype" w:cs="Arial"/>
          <w:lang w:val="es-MX"/>
        </w:rPr>
        <w:t>o</w:t>
      </w:r>
      <w:r w:rsidR="00021D68" w:rsidRPr="00057956">
        <w:rPr>
          <w:rFonts w:ascii="Palatino Linotype" w:hAnsi="Palatino Linotype" w:cs="Arial"/>
          <w:lang w:val="es-MX"/>
        </w:rPr>
        <w:t xml:space="preserve"> que debió </w:t>
      </w:r>
      <w:r w:rsidR="000F647D">
        <w:rPr>
          <w:rFonts w:ascii="Palatino Linotype" w:hAnsi="Palatino Linotype" w:cs="Arial"/>
          <w:lang w:val="es-MX"/>
        </w:rPr>
        <w:t xml:space="preserve">precisarse en resolutivos </w:t>
      </w:r>
      <w:r w:rsidR="00021D68" w:rsidRPr="00057956">
        <w:rPr>
          <w:rFonts w:ascii="Palatino Linotype" w:hAnsi="Palatino Linotype" w:cs="Arial"/>
          <w:lang w:val="es-MX"/>
        </w:rPr>
        <w:t xml:space="preserve">la entrega de </w:t>
      </w:r>
      <w:r w:rsidR="008D6B56">
        <w:rPr>
          <w:rFonts w:ascii="Palatino Linotype" w:hAnsi="Palatino Linotype" w:cs="Arial"/>
          <w:lang w:val="es-MX"/>
        </w:rPr>
        <w:t>la</w:t>
      </w:r>
      <w:r w:rsidR="00910602">
        <w:rPr>
          <w:rFonts w:ascii="Palatino Linotype" w:hAnsi="Palatino Linotype" w:cs="Arial"/>
          <w:lang w:val="es-MX"/>
        </w:rPr>
        <w:t xml:space="preserve"> </w:t>
      </w:r>
      <w:r w:rsidR="00021D68" w:rsidRPr="00057956">
        <w:rPr>
          <w:rFonts w:ascii="Palatino Linotype" w:hAnsi="Palatino Linotype" w:cs="Arial"/>
          <w:lang w:val="es-MX"/>
        </w:rPr>
        <w:t xml:space="preserve">información </w:t>
      </w:r>
      <w:r w:rsidR="0032699C">
        <w:rPr>
          <w:rFonts w:ascii="Palatino Linotype" w:hAnsi="Palatino Linotype" w:cs="Arial"/>
          <w:lang w:val="es-MX"/>
        </w:rPr>
        <w:t xml:space="preserve">consistente en </w:t>
      </w:r>
      <w:r w:rsidR="000F647D" w:rsidRPr="000F647D">
        <w:rPr>
          <w:rFonts w:ascii="Palatino Linotype" w:hAnsi="Palatino Linotype" w:cs="Arial"/>
          <w:lang w:val="es-MX"/>
        </w:rPr>
        <w:t>los anexos al Estado de Situación Financiera del 2014 al 30 de abril de 2018</w:t>
      </w:r>
      <w:r w:rsidR="00955137">
        <w:rPr>
          <w:rFonts w:ascii="Palatino Linotype" w:hAnsi="Palatino Linotype" w:cs="Arial"/>
          <w:lang w:val="es-MX"/>
        </w:rPr>
        <w:t>.</w:t>
      </w:r>
    </w:p>
    <w:p w14:paraId="1C10D6BE" w14:textId="77777777" w:rsidR="0044455A" w:rsidRDefault="0044455A" w:rsidP="009640D6">
      <w:pPr>
        <w:spacing w:line="360" w:lineRule="auto"/>
        <w:jc w:val="both"/>
        <w:rPr>
          <w:rFonts w:ascii="Palatino Linotype" w:hAnsi="Palatino Linotype" w:cs="Arial"/>
          <w:lang w:val="es-MX"/>
        </w:rPr>
      </w:pPr>
    </w:p>
    <w:p w14:paraId="017F67E7" w14:textId="5AF26CCD" w:rsidR="00F06C04" w:rsidRDefault="0044455A" w:rsidP="009640D6">
      <w:pPr>
        <w:spacing w:line="360" w:lineRule="auto"/>
        <w:jc w:val="both"/>
        <w:rPr>
          <w:rFonts w:ascii="Palatino Linotype" w:hAnsi="Palatino Linotype"/>
        </w:rPr>
      </w:pPr>
      <w:r w:rsidRPr="003C72D2">
        <w:rPr>
          <w:rFonts w:ascii="Palatino Linotype" w:hAnsi="Palatino Linotype"/>
        </w:rPr>
        <w:t>L</w:t>
      </w:r>
      <w:r>
        <w:rPr>
          <w:rFonts w:ascii="Palatino Linotype" w:hAnsi="Palatino Linotype"/>
        </w:rPr>
        <w:t xml:space="preserve">o anterior es así, </w:t>
      </w:r>
      <w:r w:rsidR="009640D6">
        <w:rPr>
          <w:rFonts w:ascii="Palatino Linotype" w:hAnsi="Palatino Linotype"/>
        </w:rPr>
        <w:t>en virtud de que conforme al estudio de la resolución y a lo dispuesto por los</w:t>
      </w:r>
      <w:r w:rsidR="009640D6" w:rsidRPr="009640D6">
        <w:rPr>
          <w:rFonts w:ascii="Palatino Linotype" w:hAnsi="Palatino Linotype"/>
          <w:i/>
        </w:rPr>
        <w:t xml:space="preserve"> </w:t>
      </w:r>
      <w:r w:rsidR="009640D6">
        <w:rPr>
          <w:rFonts w:ascii="Palatino Linotype" w:hAnsi="Palatino Linotype"/>
          <w:i/>
        </w:rPr>
        <w:t>“</w:t>
      </w:r>
      <w:r w:rsidR="009640D6" w:rsidRPr="009640D6">
        <w:rPr>
          <w:rFonts w:ascii="Palatino Linotype" w:hAnsi="Palatino Linotype"/>
          <w:i/>
        </w:rPr>
        <w:t>Lineamientos para la elaboración y presentación del Informe Mensual de los</w:t>
      </w:r>
      <w:r w:rsidR="009640D6">
        <w:rPr>
          <w:rFonts w:ascii="Palatino Linotype" w:hAnsi="Palatino Linotype"/>
          <w:i/>
        </w:rPr>
        <w:t xml:space="preserve"> </w:t>
      </w:r>
      <w:r w:rsidR="009640D6" w:rsidRPr="009640D6">
        <w:rPr>
          <w:rFonts w:ascii="Palatino Linotype" w:hAnsi="Palatino Linotype"/>
          <w:i/>
        </w:rPr>
        <w:t>Poderes Públicos, Organismos Auxiliares y Órganos autónomos del Estado de México”</w:t>
      </w:r>
      <w:r w:rsidR="009640D6">
        <w:rPr>
          <w:rFonts w:ascii="Palatino Linotype" w:hAnsi="Palatino Linotype"/>
        </w:rPr>
        <w:t xml:space="preserve"> la integración del Estado de Situación se conforma además por los </w:t>
      </w:r>
      <w:r w:rsidR="009640D6" w:rsidRPr="009640D6">
        <w:rPr>
          <w:rFonts w:ascii="Palatino Linotype" w:hAnsi="Palatino Linotype"/>
        </w:rPr>
        <w:t>Auxiliares Contables o anexos al Estado de Situación Financiera</w:t>
      </w:r>
      <w:r w:rsidR="009640D6">
        <w:rPr>
          <w:rFonts w:ascii="Palatino Linotype" w:hAnsi="Palatino Linotype"/>
        </w:rPr>
        <w:t xml:space="preserve"> y </w:t>
      </w:r>
      <w:r w:rsidR="009640D6" w:rsidRPr="009640D6">
        <w:rPr>
          <w:rFonts w:ascii="Palatino Linotype" w:hAnsi="Palatino Linotype"/>
        </w:rPr>
        <w:t>Anexos al Estado de Situación Financiera</w:t>
      </w:r>
      <w:r w:rsidR="009640D6">
        <w:rPr>
          <w:rFonts w:ascii="Palatino Linotype" w:hAnsi="Palatino Linotype"/>
        </w:rPr>
        <w:t>, tal y como se advierte en la imagen que se muestra:</w:t>
      </w:r>
    </w:p>
    <w:p w14:paraId="3613AB4D" w14:textId="27DB598B" w:rsidR="009640D6" w:rsidRDefault="009640D6" w:rsidP="009640D6">
      <w:pPr>
        <w:spacing w:line="360" w:lineRule="auto"/>
        <w:jc w:val="both"/>
        <w:rPr>
          <w:rFonts w:ascii="Palatino Linotype" w:hAnsi="Palatino Linotype"/>
        </w:rPr>
      </w:pPr>
      <w:r>
        <w:rPr>
          <w:rFonts w:ascii="Palatino Linotype" w:hAnsi="Palatino Linotype"/>
          <w:noProof/>
          <w:lang w:val="es-MX" w:eastAsia="es-MX"/>
        </w:rPr>
        <mc:AlternateContent>
          <mc:Choice Requires="wps">
            <w:drawing>
              <wp:anchor distT="0" distB="0" distL="114300" distR="114300" simplePos="0" relativeHeight="251659264" behindDoc="0" locked="0" layoutInCell="1" allowOverlap="1" wp14:anchorId="2506E524" wp14:editId="338826F0">
                <wp:simplePos x="0" y="0"/>
                <wp:positionH relativeFrom="column">
                  <wp:posOffset>15240</wp:posOffset>
                </wp:positionH>
                <wp:positionV relativeFrom="paragraph">
                  <wp:posOffset>255905</wp:posOffset>
                </wp:positionV>
                <wp:extent cx="5381625" cy="3048000"/>
                <wp:effectExtent l="38100" t="19050" r="66675" b="95250"/>
                <wp:wrapNone/>
                <wp:docPr id="2" name="Conector recto 2"/>
                <wp:cNvGraphicFramePr/>
                <a:graphic xmlns:a="http://schemas.openxmlformats.org/drawingml/2006/main">
                  <a:graphicData uri="http://schemas.microsoft.com/office/word/2010/wordprocessingShape">
                    <wps:wsp>
                      <wps:cNvCnPr/>
                      <wps:spPr>
                        <a:xfrm>
                          <a:off x="0" y="0"/>
                          <a:ext cx="5381625" cy="304800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26B84A" id="Conector recto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20.15pt" to="424.95pt,26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" strokecolor="#4f81bd [3204]" strokeweight="2pt">
                <v:shadow on="t" color="black" opacity="24903f" origin=",.5" offset="0,.55556mm"/>
              </v:line>
            </w:pict>
          </mc:Fallback>
        </mc:AlternateContent>
      </w:r>
    </w:p>
    <w:p w14:paraId="203F44B0" w14:textId="778B3AFE" w:rsidR="009640D6" w:rsidRDefault="009640D6" w:rsidP="009640D6">
      <w:pPr>
        <w:spacing w:line="360" w:lineRule="auto"/>
        <w:jc w:val="both"/>
        <w:rPr>
          <w:rFonts w:ascii="Palatino Linotype" w:hAnsi="Palatino Linotype"/>
        </w:rPr>
      </w:pPr>
      <w:r>
        <w:rPr>
          <w:noProof/>
          <w:lang w:val="es-MX" w:eastAsia="es-MX"/>
        </w:rPr>
        <w:lastRenderedPageBreak/>
        <mc:AlternateContent>
          <mc:Choice Requires="wps">
            <w:drawing>
              <wp:anchor distT="0" distB="0" distL="114300" distR="114300" simplePos="0" relativeHeight="251662336" behindDoc="0" locked="0" layoutInCell="1" allowOverlap="1" wp14:anchorId="5A66C049" wp14:editId="1F8B3A5D">
                <wp:simplePos x="0" y="0"/>
                <wp:positionH relativeFrom="column">
                  <wp:posOffset>605790</wp:posOffset>
                </wp:positionH>
                <wp:positionV relativeFrom="paragraph">
                  <wp:posOffset>6019800</wp:posOffset>
                </wp:positionV>
                <wp:extent cx="3457575" cy="190500"/>
                <wp:effectExtent l="57150" t="38100" r="85725" b="95250"/>
                <wp:wrapNone/>
                <wp:docPr id="5" name="Rectángulo 5"/>
                <wp:cNvGraphicFramePr/>
                <a:graphic xmlns:a="http://schemas.openxmlformats.org/drawingml/2006/main">
                  <a:graphicData uri="http://schemas.microsoft.com/office/word/2010/wordprocessingShape">
                    <wps:wsp>
                      <wps:cNvSpPr/>
                      <wps:spPr>
                        <a:xfrm>
                          <a:off x="0" y="0"/>
                          <a:ext cx="3457575" cy="190500"/>
                        </a:xfrm>
                        <a:prstGeom prst="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CD5055C" id="Rectángulo 5" o:spid="_x0000_s1026" style="position:absolute;margin-left:47.7pt;margin-top:474pt;width:272.25pt;height:1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" filled="f" strokecolor="red" strokeweight="2.25pt">
                <v:shadow on="t" color="black" opacity="22937f" origin=",.5" offset="0,.63889mm"/>
              </v:rect>
            </w:pict>
          </mc:Fallback>
        </mc:AlternateContent>
      </w:r>
      <w:r>
        <w:rPr>
          <w:noProof/>
          <w:lang w:val="es-MX" w:eastAsia="es-MX"/>
        </w:rPr>
        <mc:AlternateContent>
          <mc:Choice Requires="wps">
            <w:drawing>
              <wp:anchor distT="0" distB="0" distL="114300" distR="114300" simplePos="0" relativeHeight="251664384" behindDoc="0" locked="0" layoutInCell="1" allowOverlap="1" wp14:anchorId="4A5ACBFC" wp14:editId="33631225">
                <wp:simplePos x="0" y="0"/>
                <wp:positionH relativeFrom="column">
                  <wp:posOffset>767715</wp:posOffset>
                </wp:positionH>
                <wp:positionV relativeFrom="paragraph">
                  <wp:posOffset>4438650</wp:posOffset>
                </wp:positionV>
                <wp:extent cx="4905375" cy="190500"/>
                <wp:effectExtent l="57150" t="38100" r="85725" b="95250"/>
                <wp:wrapNone/>
                <wp:docPr id="6" name="Rectángulo 6"/>
                <wp:cNvGraphicFramePr/>
                <a:graphic xmlns:a="http://schemas.openxmlformats.org/drawingml/2006/main">
                  <a:graphicData uri="http://schemas.microsoft.com/office/word/2010/wordprocessingShape">
                    <wps:wsp>
                      <wps:cNvSpPr/>
                      <wps:spPr>
                        <a:xfrm>
                          <a:off x="0" y="0"/>
                          <a:ext cx="4905375" cy="190500"/>
                        </a:xfrm>
                        <a:prstGeom prst="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BFDA79E" id="Rectángulo 6" o:spid="_x0000_s1026" style="position:absolute;margin-left:60.45pt;margin-top:349.5pt;width:386.25pt;height:1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" filled="f" strokecolor="red" strokeweight="2.25pt">
                <v:shadow on="t" color="black" opacity="22937f" origin=",.5" offset="0,.63889mm"/>
              </v:rect>
            </w:pict>
          </mc:Fallback>
        </mc:AlternateContent>
      </w:r>
      <w:r>
        <w:rPr>
          <w:noProof/>
          <w:lang w:val="es-MX" w:eastAsia="es-MX"/>
        </w:rPr>
        <mc:AlternateContent>
          <mc:Choice Requires="wps">
            <w:drawing>
              <wp:anchor distT="0" distB="0" distL="114300" distR="114300" simplePos="0" relativeHeight="251660288" behindDoc="0" locked="0" layoutInCell="1" allowOverlap="1" wp14:anchorId="228D0A3B" wp14:editId="116BB5ED">
                <wp:simplePos x="0" y="0"/>
                <wp:positionH relativeFrom="column">
                  <wp:posOffset>824865</wp:posOffset>
                </wp:positionH>
                <wp:positionV relativeFrom="paragraph">
                  <wp:posOffset>1847850</wp:posOffset>
                </wp:positionV>
                <wp:extent cx="4276725" cy="190500"/>
                <wp:effectExtent l="57150" t="38100" r="85725" b="95250"/>
                <wp:wrapNone/>
                <wp:docPr id="3" name="Rectángulo 3"/>
                <wp:cNvGraphicFramePr/>
                <a:graphic xmlns:a="http://schemas.openxmlformats.org/drawingml/2006/main">
                  <a:graphicData uri="http://schemas.microsoft.com/office/word/2010/wordprocessingShape">
                    <wps:wsp>
                      <wps:cNvSpPr/>
                      <wps:spPr>
                        <a:xfrm>
                          <a:off x="0" y="0"/>
                          <a:ext cx="4276725" cy="190500"/>
                        </a:xfrm>
                        <a:prstGeom prst="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6E2466B" id="Rectángulo 3" o:spid="_x0000_s1026" style="position:absolute;margin-left:64.95pt;margin-top:145.5pt;width:336.75pt;height:1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" filled="f" strokecolor="red" strokeweight="2.25pt">
                <v:shadow on="t" color="black" opacity="22937f" origin=",.5" offset="0,.63889mm"/>
              </v:rect>
            </w:pict>
          </mc:Fallback>
        </mc:AlternateContent>
      </w:r>
      <w:r>
        <w:rPr>
          <w:noProof/>
          <w:lang w:val="es-MX" w:eastAsia="es-MX"/>
        </w:rPr>
        <w:drawing>
          <wp:inline distT="0" distB="0" distL="0" distR="0" wp14:anchorId="1794B621" wp14:editId="2C674C9D">
            <wp:extent cx="5791835" cy="76581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7658100"/>
                    </a:xfrm>
                    <a:prstGeom prst="rect">
                      <a:avLst/>
                    </a:prstGeom>
                  </pic:spPr>
                </pic:pic>
              </a:graphicData>
            </a:graphic>
          </wp:inline>
        </w:drawing>
      </w:r>
    </w:p>
    <w:p w14:paraId="3A03417A" w14:textId="43B95068" w:rsidR="009640D6" w:rsidRDefault="009640D6" w:rsidP="009640D6">
      <w:pPr>
        <w:spacing w:line="360" w:lineRule="auto"/>
        <w:jc w:val="both"/>
        <w:rPr>
          <w:rFonts w:ascii="Palatino Linotype" w:hAnsi="Palatino Linotype" w:cs="Arial"/>
          <w:lang w:eastAsia="es-MX"/>
        </w:rPr>
      </w:pPr>
      <w:r>
        <w:rPr>
          <w:rFonts w:ascii="Palatino Linotype" w:hAnsi="Palatino Linotype" w:cs="Arial"/>
          <w:lang w:eastAsia="es-MX"/>
        </w:rPr>
        <w:lastRenderedPageBreak/>
        <w:t xml:space="preserve">Ahora bien, </w:t>
      </w:r>
      <w:r w:rsidRPr="0038604B">
        <w:rPr>
          <w:rFonts w:ascii="Palatino Linotype" w:hAnsi="Palatino Linotype" w:cs="Arial"/>
          <w:lang w:eastAsia="es-MX"/>
        </w:rPr>
        <w:t xml:space="preserve">es necesario recalcar que de la solicitud se advierte que no se requirió </w:t>
      </w:r>
      <w:r w:rsidR="00360BE3">
        <w:rPr>
          <w:rFonts w:ascii="Palatino Linotype" w:hAnsi="Palatino Linotype" w:cs="Arial"/>
          <w:lang w:eastAsia="es-MX"/>
        </w:rPr>
        <w:t>el anexo de los mismo</w:t>
      </w:r>
      <w:r>
        <w:rPr>
          <w:rFonts w:ascii="Palatino Linotype" w:hAnsi="Palatino Linotype" w:cs="Arial"/>
          <w:lang w:eastAsia="es-MX"/>
        </w:rPr>
        <w:t xml:space="preserve">s; sin embargo, ante ello </w:t>
      </w:r>
      <w:r w:rsidRPr="0038604B">
        <w:rPr>
          <w:rFonts w:ascii="Palatino Linotype" w:hAnsi="Palatino Linotype" w:cs="Arial"/>
          <w:lang w:eastAsia="es-MX"/>
        </w:rPr>
        <w:t>se cita el criterio orientador 17/17 emitido por el Instituto Nacional de Transparencia, Acceso a la Información y Protección de Datos Personales que a su literalidad estipula:</w:t>
      </w:r>
    </w:p>
    <w:p w14:paraId="4E72D239" w14:textId="77777777" w:rsidR="009640D6" w:rsidRPr="0038604B" w:rsidRDefault="009640D6" w:rsidP="009640D6">
      <w:pPr>
        <w:spacing w:line="360" w:lineRule="auto"/>
        <w:jc w:val="both"/>
        <w:rPr>
          <w:rFonts w:ascii="Palatino Linotype" w:hAnsi="Palatino Linotype" w:cs="Arial"/>
          <w:lang w:eastAsia="es-MX"/>
        </w:rPr>
      </w:pPr>
    </w:p>
    <w:p w14:paraId="29F3A6CF" w14:textId="78C85A43" w:rsidR="009640D6" w:rsidRPr="0038604B" w:rsidRDefault="00087027" w:rsidP="00087027">
      <w:pPr>
        <w:ind w:left="709" w:right="757"/>
        <w:jc w:val="both"/>
        <w:rPr>
          <w:rFonts w:ascii="Palatino Linotype" w:hAnsi="Palatino Linotype" w:cs="Calibri"/>
          <w:bCs/>
          <w:i/>
          <w:color w:val="000000"/>
          <w:sz w:val="22"/>
          <w:szCs w:val="22"/>
        </w:rPr>
      </w:pPr>
      <w:r>
        <w:rPr>
          <w:rFonts w:ascii="Palatino Linotype" w:hAnsi="Palatino Linotype" w:cs="Calibri"/>
          <w:b/>
          <w:bCs/>
          <w:i/>
          <w:color w:val="000000"/>
          <w:sz w:val="22"/>
          <w:szCs w:val="22"/>
        </w:rPr>
        <w:t>“</w:t>
      </w:r>
      <w:r w:rsidR="009640D6" w:rsidRPr="0038604B">
        <w:rPr>
          <w:rFonts w:ascii="Palatino Linotype" w:hAnsi="Palatino Linotype" w:cs="Calibri"/>
          <w:b/>
          <w:bCs/>
          <w:i/>
          <w:color w:val="000000"/>
          <w:sz w:val="22"/>
          <w:szCs w:val="22"/>
        </w:rPr>
        <w:t>Anexos de los documentos solicitados. Los anexos de un documento se consideran parte integral del mismo</w:t>
      </w:r>
      <w:r w:rsidR="009640D6" w:rsidRPr="0038604B">
        <w:rPr>
          <w:rFonts w:ascii="Palatino Linotype" w:hAnsi="Palatino Linotype" w:cs="Calibri"/>
          <w:bCs/>
          <w:i/>
          <w:color w:val="000000"/>
          <w:sz w:val="22"/>
          <w:szCs w:val="22"/>
        </w:rPr>
        <w:t>. Por lo anterior, ante solicitudes de información relacionadas con documentos que incluyen anexos, los sujetos obligados deberán entregarlos, con excepción de aquellos casos en que el solicitante manifieste expresamente su interés de acceder únicamente al documento principal.</w:t>
      </w:r>
    </w:p>
    <w:p w14:paraId="0353239A" w14:textId="77777777" w:rsidR="009640D6" w:rsidRPr="0038604B" w:rsidRDefault="009640D6" w:rsidP="00087027">
      <w:pPr>
        <w:ind w:left="709" w:right="757"/>
        <w:jc w:val="both"/>
        <w:rPr>
          <w:rFonts w:ascii="Palatino Linotype" w:hAnsi="Palatino Linotype" w:cs="Calibri"/>
          <w:b/>
          <w:bCs/>
          <w:i/>
          <w:color w:val="000000"/>
          <w:sz w:val="22"/>
          <w:szCs w:val="22"/>
        </w:rPr>
      </w:pPr>
    </w:p>
    <w:p w14:paraId="27897A9A" w14:textId="77777777" w:rsidR="009640D6" w:rsidRPr="0038604B" w:rsidRDefault="009640D6" w:rsidP="00087027">
      <w:pPr>
        <w:ind w:left="709" w:right="757"/>
        <w:jc w:val="both"/>
        <w:rPr>
          <w:rFonts w:ascii="Palatino Linotype" w:hAnsi="Palatino Linotype" w:cs="Calibri"/>
          <w:bCs/>
          <w:i/>
          <w:color w:val="000000"/>
          <w:sz w:val="22"/>
          <w:szCs w:val="22"/>
        </w:rPr>
      </w:pPr>
      <w:r w:rsidRPr="0038604B">
        <w:rPr>
          <w:rFonts w:ascii="Palatino Linotype" w:hAnsi="Palatino Linotype" w:cs="Calibri"/>
          <w:bCs/>
          <w:i/>
          <w:color w:val="000000"/>
          <w:sz w:val="22"/>
          <w:szCs w:val="22"/>
        </w:rPr>
        <w:t>Resoluciones:</w:t>
      </w:r>
    </w:p>
    <w:p w14:paraId="60312D81" w14:textId="77777777" w:rsidR="009640D6" w:rsidRPr="0038604B" w:rsidRDefault="009640D6" w:rsidP="00087027">
      <w:pPr>
        <w:ind w:left="709" w:right="757"/>
        <w:jc w:val="both"/>
        <w:rPr>
          <w:rFonts w:ascii="Palatino Linotype" w:hAnsi="Palatino Linotype" w:cs="Calibri"/>
          <w:bCs/>
          <w:i/>
          <w:color w:val="000000"/>
          <w:sz w:val="22"/>
          <w:szCs w:val="22"/>
        </w:rPr>
      </w:pPr>
      <w:r w:rsidRPr="0038604B">
        <w:rPr>
          <w:rFonts w:ascii="Palatino Linotype" w:hAnsi="Palatino Linotype" w:cs="Calibri"/>
          <w:bCs/>
          <w:i/>
          <w:color w:val="000000"/>
          <w:sz w:val="22"/>
          <w:szCs w:val="22"/>
        </w:rPr>
        <w:t>RRA 0483/17. Universidad Nacional Autónoma de México. 22 de febrero de 2017. Por unanimidad. Comisionado Ponente Joel Salas Suárez.</w:t>
      </w:r>
    </w:p>
    <w:p w14:paraId="59AB8A40" w14:textId="77777777" w:rsidR="009640D6" w:rsidRPr="0038604B" w:rsidRDefault="009640D6" w:rsidP="00087027">
      <w:pPr>
        <w:ind w:left="709" w:right="757"/>
        <w:jc w:val="both"/>
        <w:rPr>
          <w:rFonts w:ascii="Palatino Linotype" w:hAnsi="Palatino Linotype" w:cs="Calibri"/>
          <w:bCs/>
          <w:i/>
          <w:color w:val="000000"/>
          <w:sz w:val="22"/>
          <w:szCs w:val="22"/>
        </w:rPr>
      </w:pPr>
      <w:r w:rsidRPr="0038604B">
        <w:rPr>
          <w:rFonts w:ascii="Palatino Linotype" w:hAnsi="Palatino Linotype" w:cs="Calibri"/>
          <w:bCs/>
          <w:i/>
          <w:color w:val="000000"/>
          <w:sz w:val="22"/>
          <w:szCs w:val="22"/>
        </w:rPr>
        <w:t xml:space="preserve">RRA 4503/16. Secretaría de Hacienda y Crédito Público. 01 de marzo de 2017. Por unanimidad. Comisionada Ponente Areli Cano Guadiana. </w:t>
      </w:r>
    </w:p>
    <w:p w14:paraId="24E391AB" w14:textId="77777777" w:rsidR="009640D6" w:rsidRPr="0038604B" w:rsidRDefault="009640D6" w:rsidP="00087027">
      <w:pPr>
        <w:ind w:left="709" w:right="757"/>
        <w:jc w:val="both"/>
        <w:rPr>
          <w:rFonts w:ascii="Palatino Linotype" w:hAnsi="Palatino Linotype" w:cs="Calibri"/>
          <w:bCs/>
          <w:i/>
          <w:color w:val="000000"/>
          <w:sz w:val="22"/>
          <w:szCs w:val="22"/>
        </w:rPr>
      </w:pPr>
      <w:r w:rsidRPr="0038604B">
        <w:rPr>
          <w:rFonts w:ascii="Palatino Linotype" w:hAnsi="Palatino Linotype" w:cs="Calibri"/>
          <w:bCs/>
          <w:i/>
          <w:color w:val="000000"/>
          <w:sz w:val="22"/>
          <w:szCs w:val="22"/>
        </w:rPr>
        <w:t>RRA 1639/17. Instituto Mexicano del Seguro Social. 19 de abril de 2017. Por unanimidad. Comisionado Ponente Francisco Javier Acuña Llamas</w:t>
      </w:r>
    </w:p>
    <w:p w14:paraId="49580D7C" w14:textId="762D0D3A" w:rsidR="009640D6" w:rsidRDefault="009640D6" w:rsidP="00087027">
      <w:pPr>
        <w:ind w:left="709" w:right="757"/>
        <w:jc w:val="both"/>
        <w:rPr>
          <w:rFonts w:ascii="Palatino Linotype" w:hAnsi="Palatino Linotype" w:cs="Calibri"/>
          <w:bCs/>
          <w:i/>
          <w:color w:val="000000"/>
          <w:sz w:val="22"/>
          <w:szCs w:val="22"/>
        </w:rPr>
      </w:pPr>
      <w:r w:rsidRPr="0038604B">
        <w:rPr>
          <w:rFonts w:ascii="Palatino Linotype" w:hAnsi="Palatino Linotype" w:cs="Calibri"/>
          <w:bCs/>
          <w:i/>
          <w:color w:val="000000"/>
          <w:sz w:val="22"/>
          <w:szCs w:val="22"/>
        </w:rPr>
        <w:t>Segunda Época                                                                                  Criterio 17/17</w:t>
      </w:r>
      <w:r w:rsidR="00087027">
        <w:rPr>
          <w:rFonts w:ascii="Palatino Linotype" w:hAnsi="Palatino Linotype" w:cs="Calibri"/>
          <w:bCs/>
          <w:i/>
          <w:color w:val="000000"/>
          <w:sz w:val="22"/>
          <w:szCs w:val="22"/>
        </w:rPr>
        <w:t>”</w:t>
      </w:r>
    </w:p>
    <w:p w14:paraId="396163D4" w14:textId="77777777" w:rsidR="00087027" w:rsidRPr="0038604B" w:rsidRDefault="00087027" w:rsidP="009640D6">
      <w:pPr>
        <w:spacing w:line="360" w:lineRule="auto"/>
        <w:ind w:left="851" w:right="709"/>
        <w:jc w:val="both"/>
        <w:rPr>
          <w:rFonts w:ascii="Palatino Linotype" w:hAnsi="Palatino Linotype" w:cs="Calibri"/>
          <w:bCs/>
          <w:i/>
          <w:color w:val="000000"/>
          <w:sz w:val="22"/>
          <w:szCs w:val="22"/>
        </w:rPr>
      </w:pPr>
    </w:p>
    <w:p w14:paraId="520A2902" w14:textId="206CDE99" w:rsidR="009640D6" w:rsidRPr="0038604B" w:rsidRDefault="009640D6" w:rsidP="009640D6">
      <w:pPr>
        <w:spacing w:line="360" w:lineRule="auto"/>
        <w:jc w:val="both"/>
        <w:rPr>
          <w:rFonts w:ascii="Palatino Linotype" w:hAnsi="Palatino Linotype" w:cs="Arial"/>
          <w:lang w:eastAsia="es-MX"/>
        </w:rPr>
      </w:pPr>
      <w:r w:rsidRPr="0038604B">
        <w:rPr>
          <w:rFonts w:ascii="Palatino Linotype" w:hAnsi="Palatino Linotype" w:cs="Arial"/>
          <w:lang w:eastAsia="es-MX"/>
        </w:rPr>
        <w:t>Por lo cual,</w:t>
      </w:r>
      <w:r w:rsidRPr="0038604B">
        <w:rPr>
          <w:rFonts w:ascii="Palatino Linotype" w:hAnsi="Palatino Linotype" w:cs="Arial"/>
          <w:b/>
          <w:lang w:eastAsia="es-MX"/>
        </w:rPr>
        <w:t xml:space="preserve"> </w:t>
      </w:r>
      <w:r w:rsidR="00360BE3">
        <w:rPr>
          <w:rFonts w:ascii="Palatino Linotype" w:hAnsi="Palatino Linotype" w:cs="Arial"/>
          <w:lang w:eastAsia="es-MX"/>
        </w:rPr>
        <w:t xml:space="preserve">es de reiterar que </w:t>
      </w:r>
      <w:r w:rsidRPr="0038604B">
        <w:rPr>
          <w:rFonts w:ascii="Palatino Linotype" w:hAnsi="Palatino Linotype" w:cs="Arial"/>
          <w:b/>
          <w:lang w:eastAsia="es-MX"/>
        </w:rPr>
        <w:t>EL SUJETO OBLIGADO</w:t>
      </w:r>
      <w:r w:rsidRPr="0038604B">
        <w:rPr>
          <w:rFonts w:ascii="Palatino Linotype" w:hAnsi="Palatino Linotype" w:cs="Arial"/>
          <w:lang w:eastAsia="es-MX"/>
        </w:rPr>
        <w:t xml:space="preserve"> deberá hacer entrega no solo de l</w:t>
      </w:r>
      <w:r w:rsidR="00087027">
        <w:rPr>
          <w:rFonts w:ascii="Palatino Linotype" w:hAnsi="Palatino Linotype" w:cs="Arial"/>
          <w:lang w:eastAsia="es-MX"/>
        </w:rPr>
        <w:t>o</w:t>
      </w:r>
      <w:r w:rsidRPr="0038604B">
        <w:rPr>
          <w:rFonts w:ascii="Palatino Linotype" w:hAnsi="Palatino Linotype" w:cs="Arial"/>
          <w:lang w:eastAsia="es-MX"/>
        </w:rPr>
        <w:t xml:space="preserve">s </w:t>
      </w:r>
      <w:r w:rsidR="00087027">
        <w:rPr>
          <w:rFonts w:ascii="Palatino Linotype" w:hAnsi="Palatino Linotype" w:cs="Arial"/>
          <w:lang w:eastAsia="es-MX"/>
        </w:rPr>
        <w:t>Estados de Situación Financiera</w:t>
      </w:r>
      <w:r>
        <w:rPr>
          <w:rFonts w:ascii="Palatino Linotype" w:hAnsi="Palatino Linotype" w:cs="Arial"/>
          <w:lang w:eastAsia="es-MX"/>
        </w:rPr>
        <w:t xml:space="preserve">, sino que también deberá hacer entrega </w:t>
      </w:r>
      <w:r w:rsidRPr="0038604B">
        <w:rPr>
          <w:rFonts w:ascii="Palatino Linotype" w:hAnsi="Palatino Linotype" w:cs="Arial"/>
          <w:lang w:eastAsia="es-MX"/>
        </w:rPr>
        <w:t xml:space="preserve">de los anexos, puesto que se considera que forman parte integral del documento principal. </w:t>
      </w:r>
    </w:p>
    <w:p w14:paraId="4CDDCD39" w14:textId="77777777" w:rsidR="00F06C04" w:rsidRPr="00F06C04" w:rsidRDefault="00F06C04" w:rsidP="009640D6">
      <w:pPr>
        <w:spacing w:line="360" w:lineRule="auto"/>
        <w:jc w:val="both"/>
        <w:rPr>
          <w:rFonts w:ascii="Palatino Linotype" w:hAnsi="Palatino Linotype"/>
        </w:rPr>
      </w:pPr>
    </w:p>
    <w:p w14:paraId="1C3FC6EA" w14:textId="1BF15FCA" w:rsidR="003E3F3D" w:rsidRDefault="00087027" w:rsidP="009640D6">
      <w:pPr>
        <w:spacing w:line="360" w:lineRule="auto"/>
        <w:ind w:right="49"/>
        <w:jc w:val="both"/>
        <w:rPr>
          <w:rFonts w:ascii="Palatino Linotype" w:hAnsi="Palatino Linotype" w:cs="Arial"/>
          <w:lang w:val="es-MX"/>
        </w:rPr>
      </w:pPr>
      <w:r w:rsidRPr="00087027">
        <w:rPr>
          <w:rFonts w:ascii="Palatino Linotype" w:hAnsi="Palatino Linotype"/>
        </w:rPr>
        <w:t xml:space="preserve">Atento a los argumentos de hecho y de derecho anteriormente expuestos, la que suscribe emite </w:t>
      </w:r>
      <w:r w:rsidRPr="00087027">
        <w:rPr>
          <w:rFonts w:ascii="Palatino Linotype" w:hAnsi="Palatino Linotype"/>
          <w:b/>
        </w:rPr>
        <w:t>VOTO PARTICULAR</w:t>
      </w:r>
      <w:r w:rsidRPr="00087027">
        <w:rPr>
          <w:rFonts w:ascii="Palatino Linotype" w:hAnsi="Palatino Linotype"/>
        </w:rPr>
        <w:t>, puesto que se estima que debi</w:t>
      </w:r>
      <w:r>
        <w:rPr>
          <w:rFonts w:ascii="Palatino Linotype" w:hAnsi="Palatino Linotype"/>
        </w:rPr>
        <w:t>ó</w:t>
      </w:r>
      <w:r w:rsidRPr="00087027">
        <w:rPr>
          <w:rFonts w:ascii="Palatino Linotype" w:hAnsi="Palatino Linotype"/>
        </w:rPr>
        <w:t xml:space="preserve"> precisa</w:t>
      </w:r>
      <w:r>
        <w:rPr>
          <w:rFonts w:ascii="Palatino Linotype" w:hAnsi="Palatino Linotype"/>
        </w:rPr>
        <w:t>rse en</w:t>
      </w:r>
      <w:r w:rsidR="00360BE3">
        <w:rPr>
          <w:rFonts w:ascii="Palatino Linotype" w:hAnsi="Palatino Linotype"/>
        </w:rPr>
        <w:t xml:space="preserve"> resolutivos la entrega de los A</w:t>
      </w:r>
      <w:r>
        <w:rPr>
          <w:rFonts w:ascii="Palatino Linotype" w:hAnsi="Palatino Linotype"/>
        </w:rPr>
        <w:t xml:space="preserve">nexos </w:t>
      </w:r>
      <w:r w:rsidR="00360BE3">
        <w:rPr>
          <w:rFonts w:ascii="Palatino Linotype" w:hAnsi="Palatino Linotype"/>
        </w:rPr>
        <w:t>al Estado de Situación financiera</w:t>
      </w:r>
      <w:r w:rsidRPr="00087027">
        <w:rPr>
          <w:rFonts w:ascii="Palatino Linotype" w:hAnsi="Palatino Linotype"/>
        </w:rPr>
        <w:t xml:space="preserve">, en atención a los principios de exhaustividad y congruencia, así como el de certeza y legalidad </w:t>
      </w:r>
      <w:r w:rsidRPr="00087027">
        <w:rPr>
          <w:rFonts w:ascii="Palatino Linotype" w:hAnsi="Palatino Linotype"/>
        </w:rPr>
        <w:lastRenderedPageBreak/>
        <w:t>previstos en las fracciones I y VI del ordinal 9 de la Ley de Transparencia y Acceso a la Información Pública del Estado de México y Municipios</w:t>
      </w:r>
      <w:r>
        <w:rPr>
          <w:rFonts w:ascii="Palatino Linotype" w:hAnsi="Palatino Linotype"/>
        </w:rPr>
        <w:t>.</w:t>
      </w:r>
    </w:p>
    <w:p w14:paraId="0A3E2DD4" w14:textId="77777777" w:rsidR="00714D2E" w:rsidRDefault="00714D2E" w:rsidP="009640D6">
      <w:pPr>
        <w:spacing w:line="360" w:lineRule="auto"/>
        <w:jc w:val="both"/>
        <w:rPr>
          <w:rFonts w:ascii="Palatino Linotype" w:hAnsi="Palatino Linotype" w:cs="Arial"/>
          <w:lang w:val="es-MX"/>
        </w:rPr>
      </w:pPr>
    </w:p>
    <w:p w14:paraId="4C84FCF9" w14:textId="77777777" w:rsidR="00AD38F2" w:rsidRDefault="00AD38F2" w:rsidP="009640D6">
      <w:pPr>
        <w:spacing w:line="360" w:lineRule="auto"/>
        <w:jc w:val="both"/>
        <w:rPr>
          <w:rFonts w:ascii="Palatino Linotype" w:hAnsi="Palatino Linotype" w:cs="Arial"/>
          <w:lang w:val="es-MX"/>
        </w:rPr>
      </w:pPr>
    </w:p>
    <w:p w14:paraId="1AA86A35" w14:textId="77777777" w:rsidR="00087027" w:rsidRDefault="00087027" w:rsidP="009640D6">
      <w:pPr>
        <w:spacing w:line="360" w:lineRule="auto"/>
        <w:jc w:val="both"/>
        <w:rPr>
          <w:rFonts w:ascii="Palatino Linotype" w:hAnsi="Palatino Linotype" w:cs="Arial"/>
          <w:lang w:val="es-MX"/>
        </w:rPr>
      </w:pPr>
    </w:p>
    <w:p w14:paraId="49FF44ED" w14:textId="77777777" w:rsidR="00087027" w:rsidRDefault="00087027" w:rsidP="009640D6">
      <w:pPr>
        <w:spacing w:line="360" w:lineRule="auto"/>
        <w:jc w:val="both"/>
        <w:rPr>
          <w:rFonts w:ascii="Palatino Linotype" w:hAnsi="Palatino Linotype" w:cs="Arial"/>
          <w:lang w:val="es-MX"/>
        </w:rPr>
      </w:pPr>
    </w:p>
    <w:p w14:paraId="15F48CCC" w14:textId="77777777" w:rsidR="00360BE3" w:rsidRDefault="00360BE3" w:rsidP="009640D6">
      <w:pPr>
        <w:spacing w:line="360" w:lineRule="auto"/>
        <w:jc w:val="both"/>
        <w:rPr>
          <w:rFonts w:ascii="Palatino Linotype" w:hAnsi="Palatino Linotype" w:cs="Arial"/>
          <w:lang w:val="es-MX"/>
        </w:rPr>
      </w:pPr>
    </w:p>
    <w:p w14:paraId="61CA1B5D" w14:textId="77777777" w:rsidR="00360BE3" w:rsidRDefault="00360BE3" w:rsidP="009640D6">
      <w:pPr>
        <w:spacing w:line="360" w:lineRule="auto"/>
        <w:jc w:val="both"/>
        <w:rPr>
          <w:rFonts w:ascii="Palatino Linotype" w:hAnsi="Palatino Linotype" w:cs="Arial"/>
          <w:lang w:val="es-MX"/>
        </w:rPr>
      </w:pPr>
    </w:p>
    <w:p w14:paraId="2CE49755" w14:textId="77777777" w:rsidR="00DF7024" w:rsidRDefault="00DF7024" w:rsidP="009640D6">
      <w:pPr>
        <w:spacing w:line="360" w:lineRule="auto"/>
        <w:jc w:val="both"/>
        <w:rPr>
          <w:rFonts w:ascii="Palatino Linotype" w:hAnsi="Palatino Linotype" w:cs="Arial"/>
          <w:lang w:val="es-MX"/>
        </w:rPr>
      </w:pPr>
    </w:p>
    <w:p w14:paraId="588E582B" w14:textId="77777777" w:rsidR="00DF7024" w:rsidRDefault="00DF7024" w:rsidP="009640D6">
      <w:pPr>
        <w:spacing w:line="360" w:lineRule="auto"/>
        <w:jc w:val="both"/>
        <w:rPr>
          <w:rFonts w:ascii="Palatino Linotype" w:hAnsi="Palatino Linotype" w:cs="Arial"/>
          <w:lang w:val="es-MX"/>
        </w:rPr>
      </w:pPr>
    </w:p>
    <w:p w14:paraId="67D93D9D" w14:textId="77777777" w:rsidR="00DF7024" w:rsidRDefault="00DF7024" w:rsidP="009640D6">
      <w:pPr>
        <w:spacing w:line="360" w:lineRule="auto"/>
        <w:jc w:val="both"/>
        <w:rPr>
          <w:rFonts w:ascii="Palatino Linotype" w:hAnsi="Palatino Linotype" w:cs="Arial"/>
          <w:lang w:val="es-MX"/>
        </w:rPr>
      </w:pPr>
    </w:p>
    <w:p w14:paraId="37EEB1A8" w14:textId="77777777" w:rsidR="00AD38F2" w:rsidRPr="00057956" w:rsidRDefault="00AD38F2" w:rsidP="009640D6">
      <w:pPr>
        <w:spacing w:line="360" w:lineRule="auto"/>
        <w:jc w:val="both"/>
        <w:rPr>
          <w:rFonts w:ascii="Palatino Linotype" w:hAnsi="Palatino Linotype" w:cs="Arial"/>
          <w:lang w:val="es-MX"/>
        </w:rPr>
      </w:pPr>
    </w:p>
    <w:tbl>
      <w:tblPr>
        <w:tblW w:w="4393" w:type="dxa"/>
        <w:jc w:val="center"/>
        <w:tblLayout w:type="fixed"/>
        <w:tblLook w:val="04A0" w:firstRow="1" w:lastRow="0" w:firstColumn="1" w:lastColumn="0" w:noHBand="0" w:noVBand="1"/>
      </w:tblPr>
      <w:tblGrid>
        <w:gridCol w:w="4393"/>
      </w:tblGrid>
      <w:tr w:rsidR="003E3F3D" w:rsidRPr="00057956" w14:paraId="2B315DB7" w14:textId="27D3DD25" w:rsidTr="003E3F3D">
        <w:trPr>
          <w:jc w:val="center"/>
        </w:trPr>
        <w:tc>
          <w:tcPr>
            <w:tcW w:w="4393" w:type="dxa"/>
          </w:tcPr>
          <w:p w14:paraId="2E918909" w14:textId="77777777" w:rsidR="003E3F3D" w:rsidRPr="00057956" w:rsidRDefault="003E3F3D" w:rsidP="00087027">
            <w:pPr>
              <w:jc w:val="center"/>
              <w:rPr>
                <w:rFonts w:ascii="Palatino Linotype" w:hAnsi="Palatino Linotype"/>
                <w:b/>
              </w:rPr>
            </w:pPr>
            <w:r w:rsidRPr="00057956">
              <w:rPr>
                <w:rFonts w:ascii="Palatino Linotype" w:hAnsi="Palatino Linotype"/>
                <w:b/>
              </w:rPr>
              <w:t>EVA ABAID YAPUR</w:t>
            </w:r>
          </w:p>
          <w:p w14:paraId="1984FCE5" w14:textId="77777777" w:rsidR="003E3F3D" w:rsidRDefault="003E3F3D" w:rsidP="00DF7024">
            <w:pPr>
              <w:jc w:val="center"/>
              <w:rPr>
                <w:rFonts w:ascii="Palatino Linotype" w:hAnsi="Palatino Linotype"/>
                <w:b/>
              </w:rPr>
            </w:pPr>
            <w:r w:rsidRPr="00057956">
              <w:rPr>
                <w:rFonts w:ascii="Palatino Linotype" w:hAnsi="Palatino Linotype"/>
                <w:b/>
              </w:rPr>
              <w:t>COMISIONADA</w:t>
            </w:r>
          </w:p>
          <w:p w14:paraId="2772608D" w14:textId="5358B8D7" w:rsidR="0002275F" w:rsidRPr="00057956" w:rsidRDefault="0002275F" w:rsidP="00DF7024">
            <w:pPr>
              <w:jc w:val="center"/>
              <w:rPr>
                <w:rFonts w:ascii="Palatino Linotype" w:hAnsi="Palatino Linotype"/>
                <w:b/>
              </w:rPr>
            </w:pPr>
            <w:r>
              <w:rPr>
                <w:rFonts w:ascii="Palatino Linotype" w:hAnsi="Palatino Linotype" w:cs="Arial"/>
                <w:b/>
              </w:rPr>
              <w:t>(RÚBRICA)</w:t>
            </w:r>
          </w:p>
        </w:tc>
      </w:tr>
    </w:tbl>
    <w:p w14:paraId="4704ED41" w14:textId="77777777" w:rsidR="001950C9" w:rsidRDefault="001950C9" w:rsidP="009640D6">
      <w:pPr>
        <w:spacing w:line="360" w:lineRule="auto"/>
        <w:jc w:val="both"/>
        <w:rPr>
          <w:rFonts w:ascii="Palatino Linotype" w:eastAsia="Calibri" w:hAnsi="Palatino Linotype" w:cs="Arial"/>
          <w:color w:val="000000" w:themeColor="text1"/>
        </w:rPr>
      </w:pPr>
    </w:p>
    <w:p w14:paraId="593ED9C5" w14:textId="77777777" w:rsidR="003B5A62" w:rsidRPr="00057956" w:rsidRDefault="003B5A62" w:rsidP="009640D6">
      <w:pPr>
        <w:spacing w:line="360" w:lineRule="auto"/>
        <w:jc w:val="both"/>
        <w:rPr>
          <w:rFonts w:ascii="Palatino Linotype" w:eastAsia="Calibri" w:hAnsi="Palatino Linotype" w:cs="Arial"/>
          <w:color w:val="000000" w:themeColor="text1"/>
        </w:rPr>
      </w:pPr>
    </w:p>
    <w:p w14:paraId="11664E2F" w14:textId="77777777" w:rsidR="00414E7B" w:rsidRDefault="00414E7B" w:rsidP="009640D6">
      <w:pPr>
        <w:spacing w:line="360" w:lineRule="auto"/>
        <w:jc w:val="both"/>
        <w:rPr>
          <w:rFonts w:ascii="Palatino Linotype" w:eastAsia="Calibri" w:hAnsi="Palatino Linotype" w:cs="Arial"/>
          <w:color w:val="000000" w:themeColor="text1"/>
        </w:rPr>
      </w:pPr>
    </w:p>
    <w:p w14:paraId="6104117C" w14:textId="77777777" w:rsidR="00087027" w:rsidRDefault="00087027" w:rsidP="009640D6">
      <w:pPr>
        <w:spacing w:line="360" w:lineRule="auto"/>
        <w:jc w:val="both"/>
        <w:rPr>
          <w:rFonts w:ascii="Palatino Linotype" w:eastAsia="Calibri" w:hAnsi="Palatino Linotype" w:cs="Arial"/>
          <w:color w:val="000000" w:themeColor="text1"/>
        </w:rPr>
      </w:pPr>
    </w:p>
    <w:p w14:paraId="741FB6A2" w14:textId="77777777" w:rsidR="00087027" w:rsidRDefault="00087027" w:rsidP="009640D6">
      <w:pPr>
        <w:spacing w:line="360" w:lineRule="auto"/>
        <w:jc w:val="both"/>
        <w:rPr>
          <w:rFonts w:ascii="Palatino Linotype" w:eastAsia="Calibri" w:hAnsi="Palatino Linotype" w:cs="Arial"/>
          <w:color w:val="000000" w:themeColor="text1"/>
        </w:rPr>
      </w:pPr>
    </w:p>
    <w:p w14:paraId="7FAE56F7" w14:textId="77777777" w:rsidR="00087027" w:rsidRDefault="00087027" w:rsidP="009640D6">
      <w:pPr>
        <w:spacing w:line="360" w:lineRule="auto"/>
        <w:jc w:val="both"/>
        <w:rPr>
          <w:rFonts w:ascii="Palatino Linotype" w:eastAsia="Calibri" w:hAnsi="Palatino Linotype" w:cs="Arial"/>
          <w:color w:val="000000" w:themeColor="text1"/>
        </w:rPr>
      </w:pPr>
    </w:p>
    <w:p w14:paraId="146A54BA" w14:textId="77777777" w:rsidR="00360BE3" w:rsidRDefault="00360BE3" w:rsidP="00087027">
      <w:pPr>
        <w:jc w:val="both"/>
        <w:rPr>
          <w:rFonts w:ascii="Palatino Linotype" w:eastAsia="Calibri" w:hAnsi="Palatino Linotype" w:cs="Arial"/>
          <w:color w:val="000000" w:themeColor="text1"/>
          <w:sz w:val="20"/>
          <w:szCs w:val="22"/>
        </w:rPr>
      </w:pPr>
      <w:bookmarkStart w:id="0" w:name="_GoBack"/>
      <w:bookmarkEnd w:id="0"/>
    </w:p>
    <w:p w14:paraId="141DA1A1" w14:textId="77777777" w:rsidR="00DF7024" w:rsidRDefault="00DF7024" w:rsidP="00087027">
      <w:pPr>
        <w:jc w:val="both"/>
        <w:rPr>
          <w:rFonts w:ascii="Palatino Linotype" w:eastAsia="Calibri" w:hAnsi="Palatino Linotype" w:cs="Arial"/>
          <w:color w:val="000000" w:themeColor="text1"/>
          <w:sz w:val="20"/>
          <w:szCs w:val="22"/>
        </w:rPr>
      </w:pPr>
    </w:p>
    <w:p w14:paraId="1F0C7E9B" w14:textId="31774089" w:rsidR="0030072F" w:rsidRDefault="0030072F" w:rsidP="00087027">
      <w:pPr>
        <w:jc w:val="both"/>
        <w:rPr>
          <w:rFonts w:ascii="Palatino Linotype" w:eastAsia="Calibri" w:hAnsi="Palatino Linotype" w:cs="Arial"/>
          <w:color w:val="000000" w:themeColor="text1"/>
          <w:sz w:val="20"/>
          <w:szCs w:val="22"/>
        </w:rPr>
      </w:pPr>
      <w:r w:rsidRPr="00AD38F2">
        <w:rPr>
          <w:rFonts w:ascii="Palatino Linotype" w:eastAsia="Calibri" w:hAnsi="Palatino Linotype" w:cs="Arial"/>
          <w:color w:val="000000" w:themeColor="text1"/>
          <w:sz w:val="20"/>
          <w:szCs w:val="22"/>
        </w:rPr>
        <w:t>Esta hoja corresponde al voto particular</w:t>
      </w:r>
      <w:r w:rsidR="00714D2E" w:rsidRPr="00AD38F2">
        <w:rPr>
          <w:rFonts w:ascii="Palatino Linotype" w:eastAsia="Calibri" w:hAnsi="Palatino Linotype" w:cs="Arial"/>
          <w:color w:val="000000" w:themeColor="text1"/>
          <w:sz w:val="20"/>
          <w:szCs w:val="22"/>
        </w:rPr>
        <w:t xml:space="preserve"> </w:t>
      </w:r>
      <w:r w:rsidRPr="00AD38F2">
        <w:rPr>
          <w:rFonts w:ascii="Palatino Linotype" w:eastAsia="Calibri" w:hAnsi="Palatino Linotype" w:cs="Arial"/>
          <w:color w:val="000000" w:themeColor="text1"/>
          <w:sz w:val="20"/>
          <w:szCs w:val="22"/>
        </w:rPr>
        <w:t xml:space="preserve">emitido en </w:t>
      </w:r>
      <w:r w:rsidR="00360BE3">
        <w:rPr>
          <w:rFonts w:ascii="Palatino Linotype" w:eastAsia="Calibri" w:hAnsi="Palatino Linotype" w:cs="Arial"/>
          <w:color w:val="000000" w:themeColor="text1"/>
          <w:sz w:val="20"/>
          <w:szCs w:val="22"/>
        </w:rPr>
        <w:t>la resolución d</w:t>
      </w:r>
      <w:r w:rsidRPr="00AD38F2">
        <w:rPr>
          <w:rFonts w:ascii="Palatino Linotype" w:eastAsia="Calibri" w:hAnsi="Palatino Linotype" w:cs="Arial"/>
          <w:color w:val="000000" w:themeColor="text1"/>
          <w:sz w:val="20"/>
          <w:szCs w:val="22"/>
        </w:rPr>
        <w:t>el recurso de revisión 0</w:t>
      </w:r>
      <w:r w:rsidR="00087027">
        <w:rPr>
          <w:rFonts w:ascii="Palatino Linotype" w:eastAsia="Calibri" w:hAnsi="Palatino Linotype" w:cs="Arial"/>
          <w:color w:val="000000" w:themeColor="text1"/>
          <w:sz w:val="20"/>
          <w:szCs w:val="22"/>
        </w:rPr>
        <w:t>1965</w:t>
      </w:r>
      <w:r w:rsidRPr="00AD38F2">
        <w:rPr>
          <w:rFonts w:ascii="Palatino Linotype" w:eastAsia="Calibri" w:hAnsi="Palatino Linotype" w:cs="Arial"/>
          <w:color w:val="000000" w:themeColor="text1"/>
          <w:sz w:val="20"/>
          <w:szCs w:val="22"/>
        </w:rPr>
        <w:t>/INFOEM/IP/RR/201</w:t>
      </w:r>
      <w:r w:rsidR="00F06C04" w:rsidRPr="00AD38F2">
        <w:rPr>
          <w:rFonts w:ascii="Palatino Linotype" w:eastAsia="Calibri" w:hAnsi="Palatino Linotype" w:cs="Arial"/>
          <w:color w:val="000000" w:themeColor="text1"/>
          <w:sz w:val="20"/>
          <w:szCs w:val="22"/>
        </w:rPr>
        <w:t>8</w:t>
      </w:r>
      <w:r w:rsidRPr="00AD38F2">
        <w:rPr>
          <w:rFonts w:ascii="Palatino Linotype" w:eastAsia="Calibri" w:hAnsi="Palatino Linotype" w:cs="Arial"/>
          <w:color w:val="000000" w:themeColor="text1"/>
          <w:sz w:val="20"/>
          <w:szCs w:val="22"/>
        </w:rPr>
        <w:t>, aprobado el</w:t>
      </w:r>
      <w:r w:rsidR="00D34604" w:rsidRPr="00AD38F2">
        <w:rPr>
          <w:rFonts w:ascii="Palatino Linotype" w:eastAsia="Calibri" w:hAnsi="Palatino Linotype" w:cs="Arial"/>
          <w:color w:val="000000" w:themeColor="text1"/>
          <w:sz w:val="20"/>
          <w:szCs w:val="22"/>
        </w:rPr>
        <w:t xml:space="preserve"> </w:t>
      </w:r>
      <w:r w:rsidR="00087027">
        <w:rPr>
          <w:rFonts w:ascii="Palatino Linotype" w:eastAsia="Calibri" w:hAnsi="Palatino Linotype" w:cs="Arial"/>
          <w:color w:val="000000" w:themeColor="text1"/>
          <w:sz w:val="20"/>
          <w:szCs w:val="22"/>
        </w:rPr>
        <w:t>uno de agosto</w:t>
      </w:r>
      <w:r w:rsidR="003B5A62" w:rsidRPr="00AD38F2">
        <w:rPr>
          <w:rFonts w:ascii="Palatino Linotype" w:eastAsia="Calibri" w:hAnsi="Palatino Linotype" w:cs="Arial"/>
          <w:color w:val="000000" w:themeColor="text1"/>
          <w:sz w:val="20"/>
          <w:szCs w:val="22"/>
        </w:rPr>
        <w:t xml:space="preserve"> de </w:t>
      </w:r>
      <w:r w:rsidR="003E3F3D" w:rsidRPr="00AD38F2">
        <w:rPr>
          <w:rFonts w:ascii="Palatino Linotype" w:eastAsia="Calibri" w:hAnsi="Palatino Linotype" w:cs="Arial"/>
          <w:color w:val="000000" w:themeColor="text1"/>
          <w:sz w:val="20"/>
          <w:szCs w:val="22"/>
        </w:rPr>
        <w:t>dos mil dieciocho</w:t>
      </w:r>
      <w:r w:rsidRPr="00AD38F2">
        <w:rPr>
          <w:rFonts w:ascii="Palatino Linotype" w:eastAsia="Calibri" w:hAnsi="Palatino Linotype" w:cs="Arial"/>
          <w:color w:val="000000" w:themeColor="text1"/>
          <w:sz w:val="20"/>
          <w:szCs w:val="22"/>
        </w:rPr>
        <w:t>.</w:t>
      </w:r>
    </w:p>
    <w:p w14:paraId="59C9C703" w14:textId="77777777" w:rsidR="00DF7024" w:rsidRPr="00DF7024" w:rsidRDefault="00DF7024" w:rsidP="00087027">
      <w:pPr>
        <w:jc w:val="both"/>
        <w:rPr>
          <w:rFonts w:ascii="Palatino Linotype" w:eastAsia="Calibri" w:hAnsi="Palatino Linotype" w:cs="Arial"/>
          <w:color w:val="000000" w:themeColor="text1"/>
          <w:sz w:val="8"/>
          <w:szCs w:val="22"/>
        </w:rPr>
      </w:pPr>
    </w:p>
    <w:p w14:paraId="2390E1F1" w14:textId="3CF9D3C6" w:rsidR="009D63A9" w:rsidRPr="00AD38F2" w:rsidRDefault="0030072F" w:rsidP="00087027">
      <w:pPr>
        <w:jc w:val="both"/>
        <w:rPr>
          <w:rFonts w:ascii="Palatino Linotype" w:eastAsia="Calibri" w:hAnsi="Palatino Linotype" w:cs="Arial"/>
          <w:color w:val="000000" w:themeColor="text1"/>
          <w:sz w:val="20"/>
          <w:szCs w:val="22"/>
        </w:rPr>
      </w:pPr>
      <w:r w:rsidRPr="00AD38F2">
        <w:rPr>
          <w:rFonts w:ascii="Palatino Linotype" w:eastAsia="Calibri" w:hAnsi="Palatino Linotype" w:cs="Arial"/>
          <w:color w:val="000000" w:themeColor="text1"/>
          <w:sz w:val="20"/>
          <w:szCs w:val="22"/>
        </w:rPr>
        <w:t>YSM/</w:t>
      </w:r>
      <w:r w:rsidR="00087027">
        <w:rPr>
          <w:rFonts w:ascii="Palatino Linotype" w:eastAsia="Calibri" w:hAnsi="Palatino Linotype" w:cs="Arial"/>
          <w:color w:val="000000" w:themeColor="text1"/>
          <w:sz w:val="20"/>
          <w:szCs w:val="22"/>
        </w:rPr>
        <w:t>EJCA</w:t>
      </w:r>
    </w:p>
    <w:sectPr w:rsidR="009D63A9" w:rsidRPr="00AD38F2" w:rsidSect="00676F2A">
      <w:headerReference w:type="even" r:id="rId9"/>
      <w:headerReference w:type="default" r:id="rId10"/>
      <w:footerReference w:type="default" r:id="rId11"/>
      <w:headerReference w:type="first" r:id="rId12"/>
      <w:pgSz w:w="12240" w:h="15840"/>
      <w:pgMar w:top="1418" w:right="1418" w:bottom="1418" w:left="1701" w:header="709"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2B7706" w14:textId="77777777" w:rsidR="004A77C7" w:rsidRDefault="004A77C7" w:rsidP="00C80F8C">
      <w:r>
        <w:separator/>
      </w:r>
    </w:p>
  </w:endnote>
  <w:endnote w:type="continuationSeparator" w:id="0">
    <w:p w14:paraId="4CC54E58" w14:textId="77777777" w:rsidR="004A77C7" w:rsidRDefault="004A77C7"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E183EC" w14:textId="77777777" w:rsidR="000412FB" w:rsidRDefault="000412FB" w:rsidP="003056D9">
    <w:pPr>
      <w:pStyle w:val="Piedepgina"/>
      <w:tabs>
        <w:tab w:val="clear" w:pos="4252"/>
        <w:tab w:val="left" w:pos="4228"/>
      </w:tabs>
      <w:rPr>
        <w:rFonts w:ascii="Palatino Linotype" w:hAnsi="Palatino Linotype" w:cs="Arial"/>
        <w:b/>
        <w:bCs/>
        <w:sz w:val="20"/>
        <w:szCs w:val="20"/>
      </w:rPr>
    </w:pPr>
  </w:p>
  <w:p w14:paraId="63130B27" w14:textId="77777777" w:rsidR="00057956" w:rsidRDefault="00057956" w:rsidP="003056D9">
    <w:pPr>
      <w:pStyle w:val="Piedepgina"/>
      <w:tabs>
        <w:tab w:val="clear" w:pos="4252"/>
        <w:tab w:val="left" w:pos="4228"/>
      </w:tabs>
      <w:rPr>
        <w:rFonts w:ascii="Palatino Linotype" w:hAnsi="Palatino Linotype" w:cs="Arial"/>
        <w:b/>
        <w:bCs/>
        <w:sz w:val="20"/>
        <w:szCs w:val="20"/>
      </w:rPr>
    </w:pPr>
  </w:p>
  <w:p w14:paraId="7694619B" w14:textId="676EB295" w:rsidR="003056D9" w:rsidRDefault="003056D9" w:rsidP="003056D9">
    <w:pPr>
      <w:pStyle w:val="Piedepgina"/>
      <w:tabs>
        <w:tab w:val="clear" w:pos="4252"/>
        <w:tab w:val="left" w:pos="4228"/>
      </w:tabs>
      <w:rPr>
        <w:rFonts w:ascii="Palatino Linotype" w:hAnsi="Palatino Linotype" w:cs="Arial"/>
        <w:b/>
        <w:bCs/>
        <w:sz w:val="20"/>
        <w:szCs w:val="20"/>
      </w:rPr>
    </w:pPr>
  </w:p>
  <w:p w14:paraId="390F141A" w14:textId="77777777" w:rsidR="00455CB3" w:rsidRDefault="00455CB3" w:rsidP="000E2B1A">
    <w:pPr>
      <w:pStyle w:val="Piedepgina"/>
      <w:rPr>
        <w:rFonts w:ascii="Palatino Linotype" w:hAnsi="Palatino Linotype" w:cs="Arial"/>
        <w:b/>
        <w:bCs/>
        <w:sz w:val="20"/>
        <w:szCs w:val="20"/>
      </w:rPr>
    </w:pPr>
  </w:p>
  <w:p w14:paraId="122599E5" w14:textId="77777777" w:rsidR="003056D9" w:rsidRPr="00F12350" w:rsidRDefault="003056D9" w:rsidP="003056D9">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02275F">
      <w:rPr>
        <w:rFonts w:ascii="Palatino Linotype" w:hAnsi="Palatino Linotype" w:cs="Arial"/>
        <w:b/>
        <w:bCs/>
        <w:noProof/>
        <w:sz w:val="20"/>
        <w:szCs w:val="20"/>
      </w:rPr>
      <w:t>5</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02275F">
      <w:rPr>
        <w:rFonts w:ascii="Palatino Linotype" w:hAnsi="Palatino Linotype" w:cs="Arial"/>
        <w:b/>
        <w:bCs/>
        <w:noProof/>
        <w:sz w:val="20"/>
        <w:szCs w:val="20"/>
      </w:rPr>
      <w:t>6</w:t>
    </w:r>
    <w:r w:rsidRPr="00F12350">
      <w:rPr>
        <w:rFonts w:ascii="Palatino Linotype" w:hAnsi="Palatino Linotype" w:cs="Arial"/>
        <w:b/>
        <w:bCs/>
        <w:sz w:val="20"/>
        <w:szCs w:val="20"/>
      </w:rPr>
      <w:fldChar w:fldCharType="end"/>
    </w:r>
  </w:p>
  <w:p w14:paraId="14A770F8" w14:textId="77777777" w:rsidR="006F30F8" w:rsidRDefault="006F30F8" w:rsidP="006F30F8">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CFAC55" w14:textId="77777777" w:rsidR="004A77C7" w:rsidRDefault="004A77C7" w:rsidP="00C80F8C">
      <w:r>
        <w:separator/>
      </w:r>
    </w:p>
  </w:footnote>
  <w:footnote w:type="continuationSeparator" w:id="0">
    <w:p w14:paraId="36F7B282" w14:textId="77777777" w:rsidR="004A77C7" w:rsidRDefault="004A77C7"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1969BE" w14:textId="4DD2E2A6" w:rsidR="0034309A" w:rsidRDefault="004A77C7">
    <w:pPr>
      <w:pStyle w:val="Encabezado"/>
    </w:pPr>
    <w:r>
      <w:rPr>
        <w:noProof/>
      </w:rPr>
      <w:pict w14:anchorId="33D001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0" o:spid="_x0000_s2050" type="#_x0000_t136" style="position:absolute;margin-left:0;margin-top:0;width:611.25pt;height:91.65pt;rotation:315;z-index:-251654144;mso-position-horizontal:center;mso-position-horizontal-relative:margin;mso-position-vertical:center;mso-position-vertical-relative:margin" o:allowincell="f" fillcolor="#e5b8b7 [1301]"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62159F" w14:textId="57EE4E61" w:rsidR="0034309A" w:rsidRDefault="0034309A" w:rsidP="0034309A">
    <w:pPr>
      <w:pStyle w:val="Encabezado"/>
      <w:tabs>
        <w:tab w:val="clear" w:pos="4252"/>
        <w:tab w:val="clear" w:pos="8504"/>
        <w:tab w:val="left" w:pos="2326"/>
      </w:tabs>
      <w:jc w:val="right"/>
    </w:pPr>
    <w:r>
      <w:rPr>
        <w:rFonts w:ascii="Palatino Linotype" w:hAnsi="Palatino Linotype"/>
        <w:noProof/>
        <w:lang w:val="es-MX" w:eastAsia="es-MX"/>
      </w:rPr>
      <w:drawing>
        <wp:anchor distT="0" distB="0" distL="114300" distR="114300" simplePos="0" relativeHeight="251658240" behindDoc="1" locked="0" layoutInCell="1" allowOverlap="1" wp14:anchorId="46D381A4" wp14:editId="423DE6F5">
          <wp:simplePos x="0" y="0"/>
          <wp:positionH relativeFrom="column">
            <wp:posOffset>-631825</wp:posOffset>
          </wp:positionH>
          <wp:positionV relativeFrom="paragraph">
            <wp:posOffset>-357979</wp:posOffset>
          </wp:positionV>
          <wp:extent cx="7604125" cy="9903460"/>
          <wp:effectExtent l="0" t="0" r="0" b="254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07B61D73" w14:textId="7B644C18" w:rsidR="0034309A" w:rsidRDefault="0034309A" w:rsidP="00773B49">
    <w:pPr>
      <w:pStyle w:val="Encabezado"/>
      <w:tabs>
        <w:tab w:val="clear" w:pos="4252"/>
        <w:tab w:val="clear" w:pos="8504"/>
        <w:tab w:val="left" w:pos="2326"/>
      </w:tabs>
      <w:ind w:right="-93"/>
      <w:jc w:val="right"/>
      <w:rPr>
        <w:rFonts w:ascii="Palatino Linotype" w:hAnsi="Palatino Linotype"/>
      </w:rPr>
    </w:pPr>
    <w:r w:rsidRPr="003764C2">
      <w:rPr>
        <w:rFonts w:ascii="Palatino Linotype" w:hAnsi="Palatino Linotype" w:cs="Arial"/>
        <w:sz w:val="20"/>
        <w:szCs w:val="20"/>
      </w:rPr>
      <w:t>VOTO</w:t>
    </w:r>
    <w:r w:rsidRPr="006F01F2">
      <w:rPr>
        <w:rFonts w:ascii="Palatino Linotype" w:hAnsi="Palatino Linotype" w:cs="Arial"/>
        <w:sz w:val="20"/>
        <w:szCs w:val="20"/>
      </w:rPr>
      <w:t xml:space="preserve"> PARTICULAR</w:t>
    </w:r>
    <w:r w:rsidR="00714D2E">
      <w:rPr>
        <w:rFonts w:ascii="Palatino Linotype" w:hAnsi="Palatino Linotype" w:cs="Arial"/>
        <w:sz w:val="20"/>
        <w:szCs w:val="20"/>
      </w:rPr>
      <w:t xml:space="preserve"> </w:t>
    </w:r>
  </w:p>
  <w:p w14:paraId="71104997" w14:textId="5BB15B66" w:rsidR="00634485" w:rsidRDefault="0034309A" w:rsidP="00773B49">
    <w:pPr>
      <w:pStyle w:val="Encabezado"/>
      <w:tabs>
        <w:tab w:val="clear" w:pos="4252"/>
        <w:tab w:val="clear" w:pos="8504"/>
        <w:tab w:val="left" w:pos="2326"/>
      </w:tabs>
      <w:ind w:right="-93"/>
      <w:jc w:val="right"/>
      <w:rPr>
        <w:rFonts w:ascii="Palatino Linotype" w:hAnsi="Palatino Linotype" w:cs="Arial"/>
        <w:sz w:val="20"/>
        <w:szCs w:val="20"/>
      </w:rPr>
    </w:pPr>
    <w:r w:rsidRPr="00706042">
      <w:rPr>
        <w:rFonts w:ascii="Palatino Linotype" w:hAnsi="Palatino Linotype" w:cs="Arial"/>
        <w:sz w:val="20"/>
        <w:szCs w:val="20"/>
      </w:rPr>
      <w:t xml:space="preserve">RECURSO DE REVISIÓN </w:t>
    </w:r>
    <w:r w:rsidR="000F647D" w:rsidRPr="000F647D">
      <w:rPr>
        <w:rFonts w:ascii="Palatino Linotype" w:hAnsi="Palatino Linotype" w:cs="Arial"/>
        <w:sz w:val="20"/>
        <w:szCs w:val="20"/>
      </w:rPr>
      <w:t>01965/INFOEM/IP/RR/2018</w:t>
    </w:r>
  </w:p>
  <w:p w14:paraId="5605195D" w14:textId="77777777" w:rsidR="00EB7480" w:rsidRDefault="00EB7480" w:rsidP="0034309A">
    <w:pPr>
      <w:pStyle w:val="Encabezado"/>
      <w:tabs>
        <w:tab w:val="clear" w:pos="4252"/>
        <w:tab w:val="clear" w:pos="8504"/>
        <w:tab w:val="left" w:pos="2326"/>
      </w:tabs>
      <w:jc w:val="right"/>
      <w:rPr>
        <w:rFonts w:ascii="Palatino Linotype" w:hAnsi="Palatino Linotype" w:cs="Arial"/>
        <w:sz w:val="20"/>
        <w:szCs w:val="20"/>
      </w:rPr>
    </w:pPr>
  </w:p>
  <w:p w14:paraId="333995A2" w14:textId="6C41D5FF" w:rsidR="0030072F" w:rsidRDefault="004A77C7" w:rsidP="005B773B">
    <w:pPr>
      <w:pStyle w:val="Encabezado"/>
      <w:tabs>
        <w:tab w:val="clear" w:pos="4252"/>
        <w:tab w:val="clear" w:pos="8504"/>
        <w:tab w:val="left" w:pos="2326"/>
      </w:tabs>
      <w:spacing w:after="240"/>
      <w:jc w:val="right"/>
      <w:rPr>
        <w:rFonts w:ascii="Palatino Linotype" w:hAnsi="Palatino Linotype" w:cs="Arial"/>
        <w:sz w:val="20"/>
        <w:szCs w:val="20"/>
      </w:rPr>
    </w:pPr>
    <w:r>
      <w:rPr>
        <w:noProof/>
      </w:rPr>
      <w:pict w14:anchorId="38BFA9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1" o:spid="_x0000_s2051" type="#_x0000_t136" style="position:absolute;left:0;text-align:left;margin-left:0;margin-top:0;width:614.65pt;height:62.75pt;rotation:315;z-index:-251652096;mso-position-horizontal:center;mso-position-horizontal-relative:margin;mso-position-vertical:center;mso-position-vertical-relative:margin" o:allowincell="f" fillcolor="#bfbfbf [2412]" stroked="f">
          <v:fill opacity=".5"/>
          <v:textpath style="font-family:&quot;Palatino Linotype&quot;;font-size:1pt" string="VOTO PARTICULAR"/>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F7B53A" w14:textId="7CCC1D43" w:rsidR="0034309A" w:rsidRDefault="004A77C7">
    <w:pPr>
      <w:pStyle w:val="Encabezado"/>
    </w:pPr>
    <w:r>
      <w:rPr>
        <w:noProof/>
      </w:rPr>
      <w:pict w14:anchorId="216D65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59" o:spid="_x0000_s2049" type="#_x0000_t136" style="position:absolute;margin-left:0;margin-top:0;width:611.25pt;height:91.65pt;rotation:315;z-index:-251656192;mso-position-horizontal:center;mso-position-horizontal-relative:margin;mso-position-vertical:center;mso-position-vertical-relative:margin" o:allowincell="f" fillcolor="#e5b8b7 [1301]"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B16172"/>
    <w:multiLevelType w:val="hybridMultilevel"/>
    <w:tmpl w:val="82CAE9BE"/>
    <w:lvl w:ilvl="0" w:tplc="CDEC5E8E">
      <w:start w:val="1"/>
      <w:numFmt w:val="upperRoman"/>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AF63D8B"/>
    <w:multiLevelType w:val="hybridMultilevel"/>
    <w:tmpl w:val="716470A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BB96A75"/>
    <w:multiLevelType w:val="hybridMultilevel"/>
    <w:tmpl w:val="BB02CA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AA77671"/>
    <w:multiLevelType w:val="hybridMultilevel"/>
    <w:tmpl w:val="B4108270"/>
    <w:lvl w:ilvl="0" w:tplc="A1141096">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 w15:restartNumberingAfterBreak="0">
    <w:nsid w:val="2CD360FD"/>
    <w:multiLevelType w:val="hybridMultilevel"/>
    <w:tmpl w:val="187A63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DD345BD"/>
    <w:multiLevelType w:val="hybridMultilevel"/>
    <w:tmpl w:val="74EE5828"/>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2ED60A1"/>
    <w:multiLevelType w:val="hybridMultilevel"/>
    <w:tmpl w:val="119E21B2"/>
    <w:lvl w:ilvl="0" w:tplc="7C506BD4">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7" w15:restartNumberingAfterBreak="0">
    <w:nsid w:val="3B887FD3"/>
    <w:multiLevelType w:val="hybridMultilevel"/>
    <w:tmpl w:val="9F307D16"/>
    <w:lvl w:ilvl="0" w:tplc="080A0017">
      <w:start w:val="1"/>
      <w:numFmt w:val="lowerLetter"/>
      <w:lvlText w:val="%1)"/>
      <w:lvlJc w:val="left"/>
      <w:pPr>
        <w:ind w:left="1068" w:hanging="360"/>
      </w:pPr>
      <w:rPr>
        <w:rFonts w:hint="default"/>
      </w:rPr>
    </w:lvl>
    <w:lvl w:ilvl="1" w:tplc="080A0003">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8" w15:restartNumberingAfterBreak="0">
    <w:nsid w:val="44EE2F27"/>
    <w:multiLevelType w:val="hybridMultilevel"/>
    <w:tmpl w:val="9740E8E2"/>
    <w:lvl w:ilvl="0" w:tplc="1C22AEE8">
      <w:start w:val="1"/>
      <w:numFmt w:val="lowerLetter"/>
      <w:lvlText w:val="%1)"/>
      <w:lvlJc w:val="left"/>
      <w:pPr>
        <w:ind w:left="1413" w:hanging="705"/>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9" w15:restartNumberingAfterBreak="0">
    <w:nsid w:val="4EE56A20"/>
    <w:multiLevelType w:val="hybridMultilevel"/>
    <w:tmpl w:val="64EE5AE8"/>
    <w:lvl w:ilvl="0" w:tplc="3598973C">
      <w:start w:val="1"/>
      <w:numFmt w:val="upperRoman"/>
      <w:lvlText w:val="%1."/>
      <w:lvlJc w:val="left"/>
      <w:pPr>
        <w:ind w:left="1429" w:hanging="720"/>
      </w:pPr>
      <w:rPr>
        <w:rFonts w:hint="default"/>
        <w:b w:val="0"/>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69996C86"/>
    <w:multiLevelType w:val="hybridMultilevel"/>
    <w:tmpl w:val="D38657C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76FE3690"/>
    <w:multiLevelType w:val="hybridMultilevel"/>
    <w:tmpl w:val="395E2E76"/>
    <w:lvl w:ilvl="0" w:tplc="9C66A31E">
      <w:start w:val="1"/>
      <w:numFmt w:val="lowerLetter"/>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12" w15:restartNumberingAfterBreak="0">
    <w:nsid w:val="7BB46A84"/>
    <w:multiLevelType w:val="hybridMultilevel"/>
    <w:tmpl w:val="6BD89C1A"/>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7"/>
  </w:num>
  <w:num w:numId="4">
    <w:abstractNumId w:val="0"/>
  </w:num>
  <w:num w:numId="5">
    <w:abstractNumId w:val="10"/>
  </w:num>
  <w:num w:numId="6">
    <w:abstractNumId w:val="9"/>
  </w:num>
  <w:num w:numId="7">
    <w:abstractNumId w:val="11"/>
  </w:num>
  <w:num w:numId="8">
    <w:abstractNumId w:val="8"/>
  </w:num>
  <w:num w:numId="9">
    <w:abstractNumId w:val="4"/>
  </w:num>
  <w:num w:numId="10">
    <w:abstractNumId w:val="3"/>
  </w:num>
  <w:num w:numId="11">
    <w:abstractNumId w:val="12"/>
  </w:num>
  <w:num w:numId="12">
    <w:abstractNumId w:val="6"/>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19A5"/>
    <w:rsid w:val="0000387C"/>
    <w:rsid w:val="00006B66"/>
    <w:rsid w:val="0001751C"/>
    <w:rsid w:val="00017D16"/>
    <w:rsid w:val="00021D68"/>
    <w:rsid w:val="0002275F"/>
    <w:rsid w:val="00033522"/>
    <w:rsid w:val="000412FB"/>
    <w:rsid w:val="00055107"/>
    <w:rsid w:val="00057956"/>
    <w:rsid w:val="0006079D"/>
    <w:rsid w:val="0007653D"/>
    <w:rsid w:val="00082101"/>
    <w:rsid w:val="0008542A"/>
    <w:rsid w:val="00087027"/>
    <w:rsid w:val="0008745A"/>
    <w:rsid w:val="00092678"/>
    <w:rsid w:val="00095B30"/>
    <w:rsid w:val="000B3FFD"/>
    <w:rsid w:val="000B6326"/>
    <w:rsid w:val="000C1A85"/>
    <w:rsid w:val="000C2CF9"/>
    <w:rsid w:val="000C4453"/>
    <w:rsid w:val="000D136C"/>
    <w:rsid w:val="000D66DE"/>
    <w:rsid w:val="000D68E0"/>
    <w:rsid w:val="000E2B1A"/>
    <w:rsid w:val="000E4C17"/>
    <w:rsid w:val="000F647D"/>
    <w:rsid w:val="00102EEC"/>
    <w:rsid w:val="0010583C"/>
    <w:rsid w:val="001059D0"/>
    <w:rsid w:val="00117749"/>
    <w:rsid w:val="00123644"/>
    <w:rsid w:val="0013735C"/>
    <w:rsid w:val="00140058"/>
    <w:rsid w:val="00175DEE"/>
    <w:rsid w:val="00187FFD"/>
    <w:rsid w:val="001950C9"/>
    <w:rsid w:val="0019763D"/>
    <w:rsid w:val="001A5699"/>
    <w:rsid w:val="001B529D"/>
    <w:rsid w:val="001D3F57"/>
    <w:rsid w:val="001E757E"/>
    <w:rsid w:val="001E763C"/>
    <w:rsid w:val="002006C5"/>
    <w:rsid w:val="002314AA"/>
    <w:rsid w:val="0023504D"/>
    <w:rsid w:val="00237A37"/>
    <w:rsid w:val="0024119C"/>
    <w:rsid w:val="002452D8"/>
    <w:rsid w:val="0025202C"/>
    <w:rsid w:val="002562CC"/>
    <w:rsid w:val="00260589"/>
    <w:rsid w:val="00265F75"/>
    <w:rsid w:val="002940F8"/>
    <w:rsid w:val="002A4516"/>
    <w:rsid w:val="002B1345"/>
    <w:rsid w:val="002B7856"/>
    <w:rsid w:val="002C107B"/>
    <w:rsid w:val="002C29DA"/>
    <w:rsid w:val="002D3BBD"/>
    <w:rsid w:val="002D4526"/>
    <w:rsid w:val="002D68B3"/>
    <w:rsid w:val="002D69E1"/>
    <w:rsid w:val="002D7933"/>
    <w:rsid w:val="002E5711"/>
    <w:rsid w:val="002F5CF7"/>
    <w:rsid w:val="0030072F"/>
    <w:rsid w:val="003031E1"/>
    <w:rsid w:val="003056D9"/>
    <w:rsid w:val="003102FA"/>
    <w:rsid w:val="003169F5"/>
    <w:rsid w:val="0032699C"/>
    <w:rsid w:val="0034309A"/>
    <w:rsid w:val="00351129"/>
    <w:rsid w:val="00360BE3"/>
    <w:rsid w:val="003664B9"/>
    <w:rsid w:val="0037321B"/>
    <w:rsid w:val="003A6F70"/>
    <w:rsid w:val="003B03E0"/>
    <w:rsid w:val="003B5A62"/>
    <w:rsid w:val="003C23BE"/>
    <w:rsid w:val="003C28FC"/>
    <w:rsid w:val="003C2D10"/>
    <w:rsid w:val="003C7226"/>
    <w:rsid w:val="003D1C14"/>
    <w:rsid w:val="003E3F3D"/>
    <w:rsid w:val="003E7C23"/>
    <w:rsid w:val="003F0C49"/>
    <w:rsid w:val="003F4C9C"/>
    <w:rsid w:val="0040475C"/>
    <w:rsid w:val="00410D1F"/>
    <w:rsid w:val="0041327F"/>
    <w:rsid w:val="00414E48"/>
    <w:rsid w:val="00414E7B"/>
    <w:rsid w:val="004179B7"/>
    <w:rsid w:val="0042481D"/>
    <w:rsid w:val="004315BB"/>
    <w:rsid w:val="0044271B"/>
    <w:rsid w:val="00443646"/>
    <w:rsid w:val="0044455A"/>
    <w:rsid w:val="0044475B"/>
    <w:rsid w:val="00455CB3"/>
    <w:rsid w:val="004661D2"/>
    <w:rsid w:val="004776FF"/>
    <w:rsid w:val="004A77C7"/>
    <w:rsid w:val="004A7F4D"/>
    <w:rsid w:val="004B7325"/>
    <w:rsid w:val="004C0141"/>
    <w:rsid w:val="004C40EA"/>
    <w:rsid w:val="004C64D9"/>
    <w:rsid w:val="004D0A26"/>
    <w:rsid w:val="00500FFD"/>
    <w:rsid w:val="00516914"/>
    <w:rsid w:val="005236B6"/>
    <w:rsid w:val="005318AB"/>
    <w:rsid w:val="005321E3"/>
    <w:rsid w:val="00546A01"/>
    <w:rsid w:val="00552317"/>
    <w:rsid w:val="00562649"/>
    <w:rsid w:val="00575235"/>
    <w:rsid w:val="0058067E"/>
    <w:rsid w:val="0058639E"/>
    <w:rsid w:val="005870DF"/>
    <w:rsid w:val="0058776D"/>
    <w:rsid w:val="00587A1E"/>
    <w:rsid w:val="00592A18"/>
    <w:rsid w:val="005B773B"/>
    <w:rsid w:val="005C1E40"/>
    <w:rsid w:val="005C66D4"/>
    <w:rsid w:val="005D14C4"/>
    <w:rsid w:val="005D1946"/>
    <w:rsid w:val="005F2992"/>
    <w:rsid w:val="00612544"/>
    <w:rsid w:val="0061616C"/>
    <w:rsid w:val="006301B2"/>
    <w:rsid w:val="00634485"/>
    <w:rsid w:val="0063673D"/>
    <w:rsid w:val="00646A97"/>
    <w:rsid w:val="00663A16"/>
    <w:rsid w:val="00672211"/>
    <w:rsid w:val="00676F2A"/>
    <w:rsid w:val="006824EF"/>
    <w:rsid w:val="00684492"/>
    <w:rsid w:val="00694EB3"/>
    <w:rsid w:val="006967D4"/>
    <w:rsid w:val="006A496D"/>
    <w:rsid w:val="006C0991"/>
    <w:rsid w:val="006D6457"/>
    <w:rsid w:val="006E6389"/>
    <w:rsid w:val="006F30F8"/>
    <w:rsid w:val="006F3D5A"/>
    <w:rsid w:val="006F4BD6"/>
    <w:rsid w:val="00712BC2"/>
    <w:rsid w:val="0071346B"/>
    <w:rsid w:val="00714D2E"/>
    <w:rsid w:val="00721966"/>
    <w:rsid w:val="00724599"/>
    <w:rsid w:val="00731875"/>
    <w:rsid w:val="007354FE"/>
    <w:rsid w:val="00736C06"/>
    <w:rsid w:val="007416E3"/>
    <w:rsid w:val="00742010"/>
    <w:rsid w:val="00744D22"/>
    <w:rsid w:val="00772360"/>
    <w:rsid w:val="00773B49"/>
    <w:rsid w:val="0078087A"/>
    <w:rsid w:val="007A4AB6"/>
    <w:rsid w:val="007B6E55"/>
    <w:rsid w:val="007C0FDA"/>
    <w:rsid w:val="007C3C0E"/>
    <w:rsid w:val="007D0FEE"/>
    <w:rsid w:val="00813339"/>
    <w:rsid w:val="008217CD"/>
    <w:rsid w:val="00827787"/>
    <w:rsid w:val="00846A21"/>
    <w:rsid w:val="008556C3"/>
    <w:rsid w:val="008562AB"/>
    <w:rsid w:val="00892AFC"/>
    <w:rsid w:val="008C0693"/>
    <w:rsid w:val="008C0700"/>
    <w:rsid w:val="008C0C70"/>
    <w:rsid w:val="008C17F2"/>
    <w:rsid w:val="008D1526"/>
    <w:rsid w:val="008D584A"/>
    <w:rsid w:val="008D6B56"/>
    <w:rsid w:val="008E1FCA"/>
    <w:rsid w:val="00910602"/>
    <w:rsid w:val="009141A6"/>
    <w:rsid w:val="00926A92"/>
    <w:rsid w:val="0093343E"/>
    <w:rsid w:val="00953EC8"/>
    <w:rsid w:val="00955137"/>
    <w:rsid w:val="009640D6"/>
    <w:rsid w:val="00966E59"/>
    <w:rsid w:val="00975AA3"/>
    <w:rsid w:val="00975EB9"/>
    <w:rsid w:val="00976BAB"/>
    <w:rsid w:val="009773AF"/>
    <w:rsid w:val="00986740"/>
    <w:rsid w:val="009A271C"/>
    <w:rsid w:val="009A67F5"/>
    <w:rsid w:val="009B65F4"/>
    <w:rsid w:val="009C2F32"/>
    <w:rsid w:val="009C46BF"/>
    <w:rsid w:val="009C73B7"/>
    <w:rsid w:val="009D63A9"/>
    <w:rsid w:val="009E40FB"/>
    <w:rsid w:val="009E5EDA"/>
    <w:rsid w:val="00A032F1"/>
    <w:rsid w:val="00A04C79"/>
    <w:rsid w:val="00A14B1D"/>
    <w:rsid w:val="00A40057"/>
    <w:rsid w:val="00A4593D"/>
    <w:rsid w:val="00A53958"/>
    <w:rsid w:val="00A60D1E"/>
    <w:rsid w:val="00A73612"/>
    <w:rsid w:val="00A81140"/>
    <w:rsid w:val="00A824CA"/>
    <w:rsid w:val="00A913AB"/>
    <w:rsid w:val="00AA7BAA"/>
    <w:rsid w:val="00AB21DA"/>
    <w:rsid w:val="00AC248E"/>
    <w:rsid w:val="00AC3F99"/>
    <w:rsid w:val="00AD0AF6"/>
    <w:rsid w:val="00AD13E4"/>
    <w:rsid w:val="00AD38F2"/>
    <w:rsid w:val="00AD6AAD"/>
    <w:rsid w:val="00AE2B18"/>
    <w:rsid w:val="00AF0B38"/>
    <w:rsid w:val="00AF3F82"/>
    <w:rsid w:val="00B068D1"/>
    <w:rsid w:val="00B106EA"/>
    <w:rsid w:val="00B151A8"/>
    <w:rsid w:val="00B27BE5"/>
    <w:rsid w:val="00B337A5"/>
    <w:rsid w:val="00B3561F"/>
    <w:rsid w:val="00B35A45"/>
    <w:rsid w:val="00B36D1D"/>
    <w:rsid w:val="00B4641E"/>
    <w:rsid w:val="00B46E78"/>
    <w:rsid w:val="00B5072E"/>
    <w:rsid w:val="00B53290"/>
    <w:rsid w:val="00B57FE6"/>
    <w:rsid w:val="00B64C77"/>
    <w:rsid w:val="00B650A8"/>
    <w:rsid w:val="00B80485"/>
    <w:rsid w:val="00B95BF7"/>
    <w:rsid w:val="00BA6C14"/>
    <w:rsid w:val="00BA6D6E"/>
    <w:rsid w:val="00BC5D71"/>
    <w:rsid w:val="00BD67DE"/>
    <w:rsid w:val="00BD7483"/>
    <w:rsid w:val="00C1644D"/>
    <w:rsid w:val="00C30621"/>
    <w:rsid w:val="00C307F0"/>
    <w:rsid w:val="00C4493E"/>
    <w:rsid w:val="00C766EF"/>
    <w:rsid w:val="00C80F8C"/>
    <w:rsid w:val="00C822D0"/>
    <w:rsid w:val="00C83B64"/>
    <w:rsid w:val="00CA047D"/>
    <w:rsid w:val="00CC5EAB"/>
    <w:rsid w:val="00CD13BC"/>
    <w:rsid w:val="00CF30E8"/>
    <w:rsid w:val="00D01B99"/>
    <w:rsid w:val="00D12B23"/>
    <w:rsid w:val="00D22D87"/>
    <w:rsid w:val="00D31B13"/>
    <w:rsid w:val="00D34604"/>
    <w:rsid w:val="00D46C00"/>
    <w:rsid w:val="00D557C2"/>
    <w:rsid w:val="00D64F32"/>
    <w:rsid w:val="00D93CE4"/>
    <w:rsid w:val="00DA5209"/>
    <w:rsid w:val="00DD6A6C"/>
    <w:rsid w:val="00DF7024"/>
    <w:rsid w:val="00DF733A"/>
    <w:rsid w:val="00E10A96"/>
    <w:rsid w:val="00E146AA"/>
    <w:rsid w:val="00E27F2A"/>
    <w:rsid w:val="00E313C4"/>
    <w:rsid w:val="00E36A61"/>
    <w:rsid w:val="00E42755"/>
    <w:rsid w:val="00E43B8E"/>
    <w:rsid w:val="00E45B76"/>
    <w:rsid w:val="00E46383"/>
    <w:rsid w:val="00E50E30"/>
    <w:rsid w:val="00E756E9"/>
    <w:rsid w:val="00E76ECF"/>
    <w:rsid w:val="00E8209A"/>
    <w:rsid w:val="00E91A10"/>
    <w:rsid w:val="00E94F08"/>
    <w:rsid w:val="00EA27CB"/>
    <w:rsid w:val="00EA5EEB"/>
    <w:rsid w:val="00EA7874"/>
    <w:rsid w:val="00EB3070"/>
    <w:rsid w:val="00EB7480"/>
    <w:rsid w:val="00EB7DE6"/>
    <w:rsid w:val="00EB7F1A"/>
    <w:rsid w:val="00EC0002"/>
    <w:rsid w:val="00EC4129"/>
    <w:rsid w:val="00ED5EE9"/>
    <w:rsid w:val="00EE3290"/>
    <w:rsid w:val="00F06505"/>
    <w:rsid w:val="00F06C04"/>
    <w:rsid w:val="00F15A43"/>
    <w:rsid w:val="00F26CD4"/>
    <w:rsid w:val="00F36CDE"/>
    <w:rsid w:val="00F44E84"/>
    <w:rsid w:val="00F46630"/>
    <w:rsid w:val="00F548A9"/>
    <w:rsid w:val="00F54D8B"/>
    <w:rsid w:val="00F57D55"/>
    <w:rsid w:val="00F92F15"/>
    <w:rsid w:val="00F9624E"/>
    <w:rsid w:val="00FA05FB"/>
    <w:rsid w:val="00FA6221"/>
    <w:rsid w:val="00FB48D6"/>
    <w:rsid w:val="00FC61E1"/>
    <w:rsid w:val="00FE7408"/>
    <w:rsid w:val="00FF2FE7"/>
    <w:rsid w:val="00FF4757"/>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3E8CC70D"/>
  <w14:defaultImageDpi w14:val="300"/>
  <w15:docId w15:val="{B5184502-767E-43C1-80F8-83F489EB6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58639E"/>
    <w:pPr>
      <w:ind w:left="720"/>
      <w:contextualSpacing/>
    </w:pPr>
  </w:style>
  <w:style w:type="paragraph" w:customStyle="1" w:styleId="Default">
    <w:name w:val="Default"/>
    <w:rsid w:val="0058639E"/>
    <w:pPr>
      <w:autoSpaceDE w:val="0"/>
      <w:autoSpaceDN w:val="0"/>
      <w:adjustRightInd w:val="0"/>
    </w:pPr>
    <w:rPr>
      <w:rFonts w:ascii="Arial" w:hAnsi="Arial" w:cs="Arial"/>
      <w:color w:val="000000"/>
      <w:lang w:val="es-MX"/>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E2B1A"/>
    <w:rPr>
      <w:rFonts w:ascii="Times New Roman" w:eastAsia="Times New Roman" w:hAnsi="Times New Roman" w:cs="Times New Roman"/>
      <w:lang w:val="es-ES"/>
    </w:rPr>
  </w:style>
  <w:style w:type="paragraph" w:styleId="Sinespaciado">
    <w:name w:val="No Spacing"/>
    <w:aliases w:val="Francesa"/>
    <w:link w:val="SinespaciadoCar"/>
    <w:uiPriority w:val="1"/>
    <w:qFormat/>
    <w:rsid w:val="008C0700"/>
    <w:rPr>
      <w:rFonts w:ascii="Times New Roman" w:eastAsia="Times New Roman" w:hAnsi="Times New Roman" w:cs="Times New Roman"/>
      <w:lang w:val="es-MX"/>
    </w:rPr>
  </w:style>
  <w:style w:type="character" w:customStyle="1" w:styleId="SinespaciadoCar">
    <w:name w:val="Sin espaciado Car"/>
    <w:aliases w:val="Francesa Car"/>
    <w:link w:val="Sinespaciado"/>
    <w:uiPriority w:val="1"/>
    <w:locked/>
    <w:rsid w:val="008C0700"/>
    <w:rPr>
      <w:rFonts w:ascii="Times New Roman" w:eastAsia="Times New Roman" w:hAnsi="Times New Roman" w:cs="Times New Roman"/>
      <w:lang w:val="es-MX"/>
    </w:rPr>
  </w:style>
  <w:style w:type="character" w:customStyle="1" w:styleId="normaltextrun">
    <w:name w:val="normaltextrun"/>
    <w:basedOn w:val="Fuentedeprrafopredeter"/>
    <w:rsid w:val="002D69E1"/>
  </w:style>
  <w:style w:type="paragraph" w:customStyle="1" w:styleId="paragraph">
    <w:name w:val="paragraph"/>
    <w:basedOn w:val="Normal"/>
    <w:rsid w:val="002D69E1"/>
    <w:pPr>
      <w:spacing w:before="100" w:beforeAutospacing="1" w:after="100" w:afterAutospacing="1"/>
    </w:pPr>
    <w:rPr>
      <w:lang w:val="es-MX" w:eastAsia="es-MX"/>
    </w:rPr>
  </w:style>
  <w:style w:type="table" w:styleId="Tablaconcuadrcula">
    <w:name w:val="Table Grid"/>
    <w:basedOn w:val="Tablanormal"/>
    <w:uiPriority w:val="59"/>
    <w:rsid w:val="00D93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D93C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76660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4A03FB-A063-4E3C-BC0F-1FFA713D2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872</Words>
  <Characters>4798</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user</cp:lastModifiedBy>
  <cp:revision>4</cp:revision>
  <cp:lastPrinted>2018-08-06T19:23:00Z</cp:lastPrinted>
  <dcterms:created xsi:type="dcterms:W3CDTF">2018-08-07T23:35:00Z</dcterms:created>
  <dcterms:modified xsi:type="dcterms:W3CDTF">2018-10-11T01:13:00Z</dcterms:modified>
</cp:coreProperties>
</file>